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610F" w:rsidR="00806D6E" w:rsidP="00806D6E" w:rsidRDefault="00806D6E" w14:paraId="4A85F6FA" w14:textId="7E8F5056">
      <w:pPr>
        <w:jc w:val="center"/>
        <w:rPr>
          <w:rFonts w:ascii="Arial" w:hAnsi="Arial" w:cs="Arial"/>
          <w:sz w:val="24"/>
          <w:szCs w:val="24"/>
          <w:u w:val="single"/>
        </w:rPr>
      </w:pPr>
    </w:p>
    <w:p w:rsidR="000578AA" w:rsidP="000578AA" w:rsidRDefault="000578AA" w14:paraId="06F09BC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eastAsiaTheme="minorEastAsia"/>
          <w:b/>
          <w:bCs/>
          <w:sz w:val="36"/>
          <w:szCs w:val="36"/>
        </w:rPr>
        <w:t>Facilité d'Appui aux Entreprises pour des Chaînes</w:t>
      </w:r>
      <w:r>
        <w:rPr>
          <w:rStyle w:val="eop"/>
          <w:rFonts w:ascii="Arial" w:hAnsi="Arial" w:cs="Arial" w:eastAsiaTheme="minorEastAsia"/>
          <w:sz w:val="36"/>
          <w:szCs w:val="36"/>
        </w:rPr>
        <w:t> </w:t>
      </w:r>
    </w:p>
    <w:p w:rsidR="000578AA" w:rsidP="000578AA" w:rsidRDefault="000578AA" w14:paraId="579459A9" w14:textId="77777777">
      <w:pPr>
        <w:pStyle w:val="paragraph"/>
        <w:spacing w:before="0" w:beforeAutospacing="0" w:after="0" w:afterAutospacing="0"/>
        <w:jc w:val="center"/>
        <w:textAlignment w:val="baseline"/>
        <w:rPr>
          <w:rFonts w:ascii="Segoe UI" w:hAnsi="Segoe UI" w:cs="Segoe UI"/>
          <w:sz w:val="18"/>
          <w:szCs w:val="18"/>
        </w:rPr>
      </w:pPr>
      <w:proofErr w:type="gramStart"/>
      <w:r>
        <w:rPr>
          <w:rStyle w:val="normaltextrun"/>
          <w:rFonts w:ascii="Arial" w:hAnsi="Arial" w:cs="Arial" w:eastAsiaTheme="minorEastAsia"/>
          <w:b/>
          <w:bCs/>
          <w:sz w:val="36"/>
          <w:szCs w:val="36"/>
        </w:rPr>
        <w:t>de</w:t>
      </w:r>
      <w:proofErr w:type="gramEnd"/>
      <w:r>
        <w:rPr>
          <w:rStyle w:val="normaltextrun"/>
          <w:rFonts w:ascii="Arial" w:hAnsi="Arial" w:cs="Arial" w:eastAsiaTheme="minorEastAsia"/>
          <w:b/>
          <w:bCs/>
          <w:sz w:val="36"/>
          <w:szCs w:val="36"/>
        </w:rPr>
        <w:t xml:space="preserve"> Valeur Agricoles Résilientes</w:t>
      </w:r>
      <w:r>
        <w:rPr>
          <w:rStyle w:val="eop"/>
          <w:rFonts w:ascii="Arial" w:hAnsi="Arial" w:cs="Arial" w:eastAsiaTheme="minorEastAsia"/>
          <w:sz w:val="36"/>
          <w:szCs w:val="36"/>
        </w:rPr>
        <w:t> </w:t>
      </w:r>
    </w:p>
    <w:p w:rsidRPr="008F4C3F" w:rsidR="00F73AFD" w:rsidP="00806D6E" w:rsidRDefault="00806D6E" w14:paraId="6C4600EE" w14:textId="77777777">
      <w:pPr>
        <w:rPr>
          <w:rFonts w:ascii="Arial" w:hAnsi="Arial" w:cs="Arial"/>
          <w:b/>
          <w:bCs/>
          <w:sz w:val="24"/>
          <w:szCs w:val="24"/>
          <w:lang w:val="fr-FR"/>
        </w:rPr>
      </w:pPr>
      <w:r w:rsidRPr="00757AF6">
        <w:rPr>
          <w:rFonts w:ascii="Arial" w:hAnsi="Arial" w:cs="Arial"/>
          <w:b/>
          <w:bCs/>
          <w:sz w:val="24"/>
          <w:szCs w:val="24"/>
          <w:lang w:val="fr-FR"/>
        </w:rPr>
        <w:t xml:space="preserve">                                                    </w:t>
      </w:r>
    </w:p>
    <w:p w:rsidRPr="008F4C3F" w:rsidR="00806D6E" w:rsidP="004920B9" w:rsidRDefault="00806D6E" w14:paraId="65C09618" w14:textId="4D108065">
      <w:pPr>
        <w:jc w:val="center"/>
        <w:rPr>
          <w:rFonts w:ascii="Arial" w:hAnsi="Arial" w:cs="Arial"/>
          <w:b/>
          <w:bCs/>
          <w:sz w:val="22"/>
          <w:szCs w:val="22"/>
          <w:lang w:val="fr-FR"/>
        </w:rPr>
      </w:pPr>
      <w:r w:rsidRPr="008F4C3F">
        <w:rPr>
          <w:rFonts w:ascii="Arial" w:hAnsi="Arial" w:cs="Arial"/>
          <w:b/>
          <w:bCs/>
          <w:sz w:val="22"/>
          <w:szCs w:val="22"/>
          <w:lang w:val="fr"/>
        </w:rPr>
        <w:t>MOVE-Com</w:t>
      </w:r>
      <w:r w:rsidRPr="008F4C3F" w:rsidR="008F4C3F">
        <w:rPr>
          <w:rFonts w:ascii="Arial" w:hAnsi="Arial" w:cs="Arial"/>
          <w:b/>
          <w:bCs/>
          <w:sz w:val="22"/>
          <w:szCs w:val="22"/>
          <w:lang w:val="fr"/>
        </w:rPr>
        <w:t>Cashew</w:t>
      </w:r>
    </w:p>
    <w:p w:rsidRPr="00757AF6" w:rsidR="00F73AFD" w:rsidP="00806D6E" w:rsidRDefault="00F73AFD" w14:paraId="2B87212E" w14:textId="77777777">
      <w:pPr>
        <w:jc w:val="center"/>
        <w:rPr>
          <w:rFonts w:ascii="Arial" w:hAnsi="Arial" w:cs="Arial"/>
          <w:b/>
          <w:bCs/>
          <w:sz w:val="28"/>
          <w:szCs w:val="28"/>
          <w:lang w:val="fr-FR"/>
        </w:rPr>
      </w:pPr>
    </w:p>
    <w:p w:rsidRPr="008F4C3F" w:rsidR="00806D6E" w:rsidP="4EFDEA0A" w:rsidRDefault="00806D6E" w14:paraId="284B016B" w14:textId="38EABD34">
      <w:pPr>
        <w:pStyle w:val="Normal"/>
        <w:jc w:val="center"/>
        <w:rPr>
          <w:rFonts w:ascii="Arial" w:hAnsi="Arial" w:cs="Arial"/>
          <w:b w:val="1"/>
          <w:bCs w:val="1"/>
          <w:sz w:val="28"/>
          <w:szCs w:val="28"/>
          <w:lang w:val="fr"/>
        </w:rPr>
      </w:pPr>
      <w:r w:rsidRPr="4EFDEA0A" w:rsidR="00806D6E">
        <w:rPr>
          <w:rFonts w:ascii="Arial" w:hAnsi="Arial" w:cs="Arial"/>
          <w:b w:val="1"/>
          <w:bCs w:val="1"/>
          <w:sz w:val="28"/>
          <w:szCs w:val="28"/>
          <w:lang w:val="fr"/>
        </w:rPr>
        <w:t xml:space="preserve">Premier appel à candidatures du programme de </w:t>
      </w:r>
      <w:r w:rsidRPr="4EFDEA0A" w:rsidR="1676DDD2">
        <w:rPr>
          <w:rFonts w:ascii="Arial" w:hAnsi="Arial" w:cs="Arial"/>
          <w:b w:val="1"/>
          <w:bCs w:val="1"/>
          <w:sz w:val="28"/>
          <w:szCs w:val="28"/>
          <w:lang w:val="fr"/>
        </w:rPr>
        <w:t xml:space="preserve">fonds de </w:t>
      </w:r>
      <w:r w:rsidRPr="4EFDEA0A" w:rsidR="1676DDD2">
        <w:rPr>
          <w:rFonts w:ascii="Arial" w:hAnsi="Arial" w:eastAsia="Arial" w:cs="Arial"/>
          <w:b w:val="1"/>
          <w:bCs w:val="1"/>
          <w:i w:val="0"/>
          <w:iCs w:val="0"/>
          <w:caps w:val="0"/>
          <w:smallCaps w:val="0"/>
          <w:noProof w:val="0"/>
          <w:color w:val="000000" w:themeColor="text1" w:themeTint="FF" w:themeShade="FF"/>
          <w:sz w:val="28"/>
          <w:szCs w:val="28"/>
          <w:lang w:val="fr"/>
        </w:rPr>
        <w:t>contrepartie compétitif</w:t>
      </w:r>
      <w:r w:rsidRPr="4EFDEA0A" w:rsidR="1676DDD2">
        <w:rPr>
          <w:rFonts w:ascii="Arial" w:hAnsi="Arial" w:cs="Arial"/>
          <w:b w:val="1"/>
          <w:bCs w:val="1"/>
          <w:sz w:val="28"/>
          <w:szCs w:val="28"/>
          <w:lang w:val="fr"/>
        </w:rPr>
        <w:t xml:space="preserve"> </w:t>
      </w:r>
    </w:p>
    <w:p w:rsidRPr="00757AF6" w:rsidR="00806D6E" w:rsidP="27B81E82" w:rsidRDefault="00806D6E" w14:paraId="0741448F" w14:textId="77777777">
      <w:pPr>
        <w:spacing w:before="29"/>
        <w:ind w:right="517"/>
        <w:jc w:val="center"/>
        <w:rPr>
          <w:rFonts w:ascii="Arial" w:hAnsi="Arial" w:eastAsia="Arial" w:cs="Arial"/>
          <w:b/>
          <w:bCs/>
          <w:sz w:val="24"/>
          <w:szCs w:val="24"/>
          <w:lang w:val="fr-FR"/>
        </w:rPr>
      </w:pPr>
    </w:p>
    <w:p w:rsidRPr="00757AF6" w:rsidR="00806D6E" w:rsidP="27B81E82" w:rsidRDefault="00806D6E" w14:paraId="24AAAA78" w14:textId="77777777">
      <w:pPr>
        <w:spacing w:before="29"/>
        <w:ind w:right="517"/>
        <w:jc w:val="center"/>
        <w:rPr>
          <w:rFonts w:ascii="Arial" w:hAnsi="Arial" w:eastAsia="Arial" w:cs="Arial"/>
          <w:b/>
          <w:bCs/>
          <w:sz w:val="24"/>
          <w:szCs w:val="24"/>
          <w:lang w:val="fr-FR"/>
        </w:rPr>
      </w:pPr>
    </w:p>
    <w:p w:rsidRPr="00757AF6" w:rsidR="00806D6E" w:rsidP="27B81E82" w:rsidRDefault="00806D6E" w14:paraId="27621B28" w14:textId="77777777">
      <w:pPr>
        <w:spacing w:before="29"/>
        <w:ind w:right="517"/>
        <w:jc w:val="center"/>
        <w:rPr>
          <w:rFonts w:ascii="Arial" w:hAnsi="Arial" w:eastAsia="Arial" w:cs="Arial"/>
          <w:b/>
          <w:bCs/>
          <w:sz w:val="24"/>
          <w:szCs w:val="24"/>
          <w:lang w:val="fr-FR"/>
        </w:rPr>
      </w:pPr>
    </w:p>
    <w:p w:rsidRPr="00A61B5D" w:rsidR="00450314" w:rsidP="00A0107A" w:rsidRDefault="00BB565C" w14:paraId="64101688" w14:textId="1D840BE6">
      <w:pPr>
        <w:spacing w:before="29"/>
        <w:ind w:right="517"/>
        <w:jc w:val="center"/>
        <w:rPr>
          <w:rFonts w:ascii="Arial" w:hAnsi="Arial" w:eastAsia="Arial" w:cs="Arial"/>
          <w:b/>
          <w:bCs/>
          <w:sz w:val="24"/>
          <w:szCs w:val="24"/>
          <w:lang w:val="fr-FR"/>
        </w:rPr>
      </w:pPr>
      <w:r w:rsidRPr="00A61B5D">
        <w:rPr>
          <w:rFonts w:ascii="Arial" w:hAnsi="Arial" w:cs="Arial"/>
          <w:b/>
          <w:bCs/>
          <w:sz w:val="24"/>
          <w:szCs w:val="24"/>
          <w:lang w:val="fr"/>
        </w:rPr>
        <w:t xml:space="preserve"> Guides sur </w:t>
      </w:r>
      <w:r w:rsidRPr="00A61B5D" w:rsidR="00A61B5D">
        <w:rPr>
          <w:rFonts w:ascii="Arial" w:hAnsi="Arial" w:cs="Arial"/>
          <w:b/>
          <w:bCs/>
          <w:sz w:val="24"/>
          <w:szCs w:val="24"/>
          <w:lang w:val="fr"/>
        </w:rPr>
        <w:t xml:space="preserve">les couts </w:t>
      </w:r>
      <w:r w:rsidRPr="00A61B5D">
        <w:rPr>
          <w:rFonts w:ascii="Arial" w:hAnsi="Arial" w:cs="Arial"/>
          <w:b/>
          <w:bCs/>
          <w:sz w:val="24"/>
          <w:szCs w:val="24"/>
          <w:lang w:val="fr"/>
        </w:rPr>
        <w:t xml:space="preserve">éligibles au remboursement dans </w:t>
      </w:r>
      <w:r w:rsidRPr="00A61B5D" w:rsidR="00A61B5D">
        <w:rPr>
          <w:rFonts w:ascii="Arial" w:hAnsi="Arial" w:cs="Arial"/>
          <w:b/>
          <w:bCs/>
          <w:sz w:val="24"/>
          <w:szCs w:val="24"/>
          <w:lang w:val="fr"/>
        </w:rPr>
        <w:t>l’accord de mise en œuvre</w:t>
      </w:r>
    </w:p>
    <w:p w:rsidRPr="00757AF6" w:rsidR="00A0107A" w:rsidRDefault="00A0107A" w14:paraId="35372619" w14:textId="77777777">
      <w:pPr>
        <w:spacing w:line="260" w:lineRule="exact"/>
        <w:ind w:left="116"/>
        <w:rPr>
          <w:rFonts w:ascii="Arial" w:hAnsi="Arial" w:eastAsia="Arial" w:cs="Arial"/>
          <w:b/>
          <w:position w:val="-1"/>
          <w:sz w:val="22"/>
          <w:szCs w:val="22"/>
          <w:u w:color="000000"/>
          <w:lang w:val="fr-FR"/>
        </w:rPr>
      </w:pPr>
    </w:p>
    <w:p w:rsidRPr="00757AF6" w:rsidR="00A0107A" w:rsidRDefault="00A0107A" w14:paraId="3E5C11D7" w14:textId="77777777">
      <w:pPr>
        <w:spacing w:line="260" w:lineRule="exact"/>
        <w:ind w:left="116"/>
        <w:rPr>
          <w:rFonts w:ascii="Arial" w:hAnsi="Arial" w:eastAsia="Arial" w:cs="Arial"/>
          <w:b/>
          <w:position w:val="-1"/>
          <w:sz w:val="22"/>
          <w:szCs w:val="22"/>
          <w:u w:color="000000"/>
          <w:lang w:val="fr-FR"/>
        </w:rPr>
      </w:pPr>
    </w:p>
    <w:p w:rsidRPr="00A61B5D" w:rsidR="00274DAF" w:rsidRDefault="006A3AD9" w14:paraId="04203FA0" w14:textId="6D722D2F">
      <w:pPr>
        <w:spacing w:line="260" w:lineRule="exact"/>
        <w:ind w:left="116"/>
        <w:rPr>
          <w:rFonts w:ascii="Arial" w:hAnsi="Arial" w:eastAsia="Arial" w:cs="Arial"/>
          <w:sz w:val="22"/>
          <w:szCs w:val="22"/>
          <w:lang w:val="fr-FR"/>
        </w:rPr>
      </w:pPr>
      <w:r>
        <w:rPr>
          <w:rFonts w:ascii="Arial" w:hAnsi="Arial" w:cs="Arial"/>
          <w:b/>
          <w:position w:val="-1"/>
          <w:sz w:val="22"/>
          <w:szCs w:val="22"/>
          <w:u w:color="000000"/>
          <w:lang w:val="fr"/>
        </w:rPr>
        <w:t>C</w:t>
      </w:r>
      <w:r w:rsidRPr="00A61B5D" w:rsidR="00632A7D">
        <w:rPr>
          <w:rFonts w:ascii="Arial" w:hAnsi="Arial" w:cs="Arial"/>
          <w:b/>
          <w:position w:val="-1"/>
          <w:sz w:val="22"/>
          <w:szCs w:val="22"/>
          <w:u w:color="000000"/>
          <w:lang w:val="fr"/>
        </w:rPr>
        <w:t>oûts admissibles au remboursement</w:t>
      </w:r>
      <w:r w:rsidRPr="00A61B5D" w:rsidR="00A61B5D">
        <w:rPr>
          <w:rFonts w:ascii="Arial" w:hAnsi="Arial" w:cs="Arial"/>
          <w:b/>
          <w:position w:val="-1"/>
          <w:sz w:val="22"/>
          <w:szCs w:val="22"/>
          <w:u w:color="000000"/>
          <w:lang w:val="fr"/>
        </w:rPr>
        <w:t xml:space="preserve"> </w:t>
      </w:r>
    </w:p>
    <w:p w:rsidRPr="00A61B5D" w:rsidR="00274DAF" w:rsidRDefault="00274DAF" w14:paraId="64358E47" w14:textId="77777777">
      <w:pPr>
        <w:spacing w:before="9" w:line="180" w:lineRule="exact"/>
        <w:rPr>
          <w:rFonts w:ascii="Arial" w:hAnsi="Arial" w:cs="Arial"/>
          <w:sz w:val="19"/>
          <w:szCs w:val="19"/>
          <w:lang w:val="fr-FR"/>
        </w:rPr>
      </w:pPr>
    </w:p>
    <w:p w:rsidRPr="00A61B5D" w:rsidR="00274DAF" w:rsidRDefault="00632A7D" w14:paraId="75A019A0" w14:textId="7E2A9554">
      <w:pPr>
        <w:spacing w:before="41"/>
        <w:ind w:left="116" w:right="77"/>
        <w:jc w:val="both"/>
        <w:rPr>
          <w:rFonts w:ascii="Arial" w:hAnsi="Arial" w:eastAsia="Arial" w:cs="Arial"/>
          <w:sz w:val="22"/>
          <w:szCs w:val="22"/>
          <w:lang w:val="fr-FR"/>
        </w:rPr>
      </w:pPr>
      <w:r w:rsidRPr="00A61B5D">
        <w:rPr>
          <w:rFonts w:ascii="Arial" w:hAnsi="Arial" w:cs="Arial"/>
          <w:sz w:val="22"/>
          <w:szCs w:val="22"/>
          <w:lang w:val="fr"/>
        </w:rPr>
        <w:t>Seuls</w:t>
      </w:r>
      <w:r w:rsidRPr="00A61B5D" w:rsidR="00113CAE">
        <w:rPr>
          <w:rFonts w:ascii="Arial" w:hAnsi="Arial" w:cs="Arial"/>
          <w:sz w:val="22"/>
          <w:szCs w:val="22"/>
          <w:lang w:val="fr"/>
        </w:rPr>
        <w:t xml:space="preserve"> les </w:t>
      </w:r>
      <w:r w:rsidRPr="003E3843" w:rsidR="00113CAE">
        <w:rPr>
          <w:rFonts w:ascii="Arial" w:hAnsi="Arial" w:cs="Arial"/>
          <w:b/>
          <w:bCs/>
          <w:sz w:val="22"/>
          <w:szCs w:val="22"/>
          <w:lang w:val="fr"/>
        </w:rPr>
        <w:t xml:space="preserve">coûts directs </w:t>
      </w:r>
      <w:bookmarkStart w:name="_Hlk100045316" w:id="0"/>
      <w:r w:rsidRPr="003E3843" w:rsidR="003E3843">
        <w:rPr>
          <w:rFonts w:ascii="Arial" w:hAnsi="Arial" w:cs="Arial"/>
          <w:b/>
          <w:bCs/>
          <w:sz w:val="22"/>
          <w:szCs w:val="22"/>
          <w:lang w:val="fr"/>
        </w:rPr>
        <w:t>réels</w:t>
      </w:r>
      <w:r w:rsidRPr="00A61B5D" w:rsidR="003E3843">
        <w:rPr>
          <w:rFonts w:ascii="Arial" w:hAnsi="Arial" w:cs="Arial"/>
          <w:b/>
          <w:sz w:val="22"/>
          <w:szCs w:val="22"/>
          <w:lang w:val="fr"/>
        </w:rPr>
        <w:t xml:space="preserve"> </w:t>
      </w:r>
      <w:r w:rsidRPr="00A61B5D" w:rsidR="003E3843">
        <w:rPr>
          <w:rFonts w:ascii="Arial" w:hAnsi="Arial" w:cs="Arial"/>
          <w:sz w:val="22"/>
          <w:szCs w:val="22"/>
          <w:lang w:val="fr"/>
        </w:rPr>
        <w:t>immédiatement</w:t>
      </w:r>
      <w:r w:rsidRPr="00A61B5D" w:rsidR="00113CAE">
        <w:rPr>
          <w:rFonts w:ascii="Arial" w:hAnsi="Arial" w:cs="Arial"/>
          <w:sz w:val="22"/>
          <w:szCs w:val="22"/>
          <w:lang w:val="fr"/>
        </w:rPr>
        <w:t xml:space="preserve"> </w:t>
      </w:r>
      <w:r w:rsidRPr="008E1703" w:rsidR="00113CAE">
        <w:rPr>
          <w:rFonts w:ascii="Arial" w:hAnsi="Arial" w:cs="Arial"/>
          <w:sz w:val="22"/>
          <w:szCs w:val="22"/>
          <w:lang w:val="fr"/>
        </w:rPr>
        <w:t>causés</w:t>
      </w:r>
      <w:r w:rsidRPr="00A61B5D" w:rsidR="00113CAE">
        <w:rPr>
          <w:rFonts w:ascii="Arial" w:hAnsi="Arial" w:cs="Arial"/>
          <w:sz w:val="22"/>
          <w:szCs w:val="22"/>
          <w:lang w:val="fr"/>
        </w:rPr>
        <w:t xml:space="preserve"> par le projet</w:t>
      </w:r>
      <w:bookmarkEnd w:id="0"/>
      <w:r w:rsidRPr="00A61B5D">
        <w:rPr>
          <w:rFonts w:ascii="Arial" w:hAnsi="Arial" w:cs="Arial"/>
          <w:sz w:val="22"/>
          <w:szCs w:val="22"/>
          <w:lang w:val="fr"/>
        </w:rPr>
        <w:t xml:space="preserve"> sont éligibles au remboursement conformément au pourcentage convenu dans le contrat</w:t>
      </w:r>
      <w:r w:rsidRPr="00A61B5D" w:rsidR="0073293F">
        <w:rPr>
          <w:rFonts w:ascii="Arial" w:hAnsi="Arial" w:cs="Arial"/>
          <w:b/>
          <w:sz w:val="22"/>
          <w:szCs w:val="22"/>
          <w:lang w:val="fr"/>
        </w:rPr>
        <w:t>.</w:t>
      </w:r>
      <w:r w:rsidRPr="00A61B5D">
        <w:rPr>
          <w:rFonts w:ascii="Arial" w:hAnsi="Arial" w:cs="Arial"/>
          <w:lang w:val="fr"/>
        </w:rPr>
        <w:t xml:space="preserve"> </w:t>
      </w:r>
      <w:r w:rsidRPr="00A61B5D">
        <w:rPr>
          <w:rFonts w:ascii="Arial" w:hAnsi="Arial" w:cs="Arial"/>
          <w:sz w:val="22"/>
          <w:szCs w:val="22"/>
          <w:lang w:val="fr"/>
        </w:rPr>
        <w:t xml:space="preserve"> Les coûts qui dépassent le pourcentage des coûts totaux ou la limite supérieure </w:t>
      </w:r>
      <w:r w:rsidRPr="00A61B5D" w:rsidR="003766B4">
        <w:rPr>
          <w:rFonts w:ascii="Arial" w:hAnsi="Arial" w:cs="Arial"/>
          <w:sz w:val="22"/>
          <w:szCs w:val="22"/>
          <w:lang w:val="fr"/>
        </w:rPr>
        <w:t>fixée par le contrat</w:t>
      </w:r>
      <w:r w:rsidRPr="00A61B5D">
        <w:rPr>
          <w:rFonts w:ascii="Arial" w:hAnsi="Arial" w:cs="Arial"/>
          <w:b/>
          <w:bCs/>
          <w:sz w:val="22"/>
          <w:szCs w:val="22"/>
          <w:lang w:val="fr"/>
        </w:rPr>
        <w:t xml:space="preserve"> ne seront pas remboursés</w:t>
      </w:r>
      <w:r w:rsidRPr="00A61B5D">
        <w:rPr>
          <w:rFonts w:ascii="Arial" w:hAnsi="Arial" w:cs="Arial"/>
          <w:sz w:val="22"/>
          <w:szCs w:val="22"/>
          <w:lang w:val="fr"/>
        </w:rPr>
        <w:t xml:space="preserve">. Le taux en pourcentage s’applique uniformément à tous les </w:t>
      </w:r>
      <w:r w:rsidRPr="008E1703">
        <w:rPr>
          <w:rFonts w:ascii="Arial" w:hAnsi="Arial" w:cs="Arial"/>
          <w:sz w:val="22"/>
          <w:szCs w:val="22"/>
          <w:lang w:val="fr"/>
        </w:rPr>
        <w:t>postes</w:t>
      </w:r>
      <w:r w:rsidRPr="00A61B5D">
        <w:rPr>
          <w:rFonts w:ascii="Arial" w:hAnsi="Arial" w:cs="Arial"/>
          <w:sz w:val="22"/>
          <w:szCs w:val="22"/>
          <w:lang w:val="fr"/>
        </w:rPr>
        <w:t xml:space="preserve"> de coût. Seuls les coûts des activités qui ont eu lieu pendant la durée du contrat peuvent être remboursés.</w:t>
      </w:r>
    </w:p>
    <w:p w:rsidRPr="00A61B5D" w:rsidR="00274DAF" w:rsidRDefault="00274DAF" w14:paraId="1A03F52E" w14:textId="77777777">
      <w:pPr>
        <w:spacing w:before="2" w:line="240" w:lineRule="exact"/>
        <w:rPr>
          <w:rFonts w:ascii="Arial" w:hAnsi="Arial" w:cs="Arial"/>
          <w:sz w:val="24"/>
          <w:szCs w:val="24"/>
          <w:lang w:val="fr-FR"/>
        </w:rPr>
      </w:pPr>
    </w:p>
    <w:p w:rsidRPr="00757AF6" w:rsidR="00274DAF" w:rsidP="72DA4860" w:rsidRDefault="00274DAF" w14:paraId="53E35282" w14:textId="5C62FD62">
      <w:pPr>
        <w:spacing w:before="1" w:line="240" w:lineRule="exact"/>
        <w:rPr>
          <w:rFonts w:ascii="Arial" w:hAnsi="Arial" w:eastAsia="Arial" w:cs="Arial"/>
          <w:sz w:val="22"/>
          <w:szCs w:val="22"/>
          <w:lang w:val="fr-FR"/>
        </w:rPr>
      </w:pPr>
    </w:p>
    <w:p w:rsidRPr="006A3AD9" w:rsidR="00274DAF" w:rsidP="72DA4860" w:rsidRDefault="00632A7D" w14:paraId="3BCAD678" w14:textId="40E52FED">
      <w:pPr>
        <w:spacing w:before="1" w:line="240" w:lineRule="exact"/>
        <w:rPr>
          <w:rFonts w:ascii="Arial" w:hAnsi="Arial" w:eastAsia="Arial" w:cs="Arial"/>
          <w:b/>
          <w:bCs/>
          <w:position w:val="-1"/>
          <w:sz w:val="22"/>
          <w:szCs w:val="22"/>
          <w:lang w:val="fr-FR"/>
        </w:rPr>
      </w:pPr>
      <w:r w:rsidRPr="006A3AD9">
        <w:rPr>
          <w:rFonts w:ascii="Arial" w:hAnsi="Arial" w:cs="Arial"/>
          <w:b/>
          <w:bCs/>
          <w:position w:val="-1"/>
          <w:sz w:val="22"/>
          <w:szCs w:val="22"/>
          <w:lang w:val="fr"/>
        </w:rPr>
        <w:t>Détermination des coûts admissibles au remboursement</w:t>
      </w:r>
    </w:p>
    <w:p w:rsidRPr="006A3AD9" w:rsidR="0043237C" w:rsidP="72DA4860" w:rsidRDefault="0043237C" w14:paraId="336C75E2" w14:textId="77777777">
      <w:pPr>
        <w:spacing w:before="1" w:line="240" w:lineRule="exact"/>
        <w:rPr>
          <w:rFonts w:ascii="Arial" w:hAnsi="Arial" w:eastAsia="Arial" w:cs="Arial"/>
          <w:b/>
          <w:bCs/>
          <w:sz w:val="22"/>
          <w:szCs w:val="22"/>
          <w:lang w:val="fr-FR"/>
        </w:rPr>
      </w:pPr>
    </w:p>
    <w:p w:rsidRPr="006A3AD9" w:rsidR="00274DAF" w:rsidP="72DA4860" w:rsidRDefault="00632A7D" w14:paraId="736B6099" w14:textId="4F89E5B4">
      <w:pPr>
        <w:ind w:right="76"/>
        <w:jc w:val="both"/>
        <w:rPr>
          <w:rFonts w:ascii="Arial" w:hAnsi="Arial" w:eastAsia="Arial" w:cs="Arial"/>
          <w:sz w:val="22"/>
          <w:szCs w:val="22"/>
          <w:lang w:val="fr-FR"/>
        </w:rPr>
      </w:pPr>
      <w:r w:rsidRPr="006A3AD9">
        <w:rPr>
          <w:rFonts w:ascii="Arial" w:hAnsi="Arial" w:cs="Arial"/>
          <w:sz w:val="22"/>
          <w:szCs w:val="22"/>
          <w:lang w:val="fr"/>
        </w:rPr>
        <w:t>Seuls les coûts directs réels (sans majoration) immédiatement engagés par le projet sont reconnus comme admissibles au remboursement. Les frais généraux et autres montants forfaitaires, les coûts imputés</w:t>
      </w:r>
      <w:r w:rsidR="00E62A99">
        <w:rPr>
          <w:rFonts w:ascii="Arial" w:hAnsi="Arial" w:cs="Arial"/>
          <w:sz w:val="22"/>
          <w:szCs w:val="22"/>
          <w:lang w:val="fr"/>
        </w:rPr>
        <w:t xml:space="preserve"> et</w:t>
      </w:r>
      <w:r w:rsidRPr="006A3AD9">
        <w:rPr>
          <w:rFonts w:ascii="Arial" w:hAnsi="Arial" w:cs="Arial"/>
          <w:sz w:val="22"/>
          <w:szCs w:val="22"/>
          <w:lang w:val="fr"/>
        </w:rPr>
        <w:t xml:space="preserve"> l’amortissement, les affectations aux provisions et la majoration des bénéfices ou autres majorations des coûts ne sont pas admissibles au remboursement.</w:t>
      </w:r>
    </w:p>
    <w:p w:rsidRPr="006A3AD9" w:rsidR="003A6E73" w:rsidP="003A6E73" w:rsidRDefault="003A6E73" w14:paraId="5A7AA4C2" w14:textId="77777777">
      <w:pPr>
        <w:ind w:right="87"/>
        <w:jc w:val="both"/>
        <w:rPr>
          <w:rFonts w:ascii="Arial" w:hAnsi="Arial" w:cs="Arial"/>
          <w:sz w:val="22"/>
          <w:szCs w:val="22"/>
          <w:lang w:val="fr-FR"/>
        </w:rPr>
      </w:pPr>
    </w:p>
    <w:p w:rsidRPr="006A3AD9" w:rsidR="00274DAF" w:rsidP="003A6E73" w:rsidRDefault="00632A7D" w14:paraId="2E1D053B" w14:textId="4BF03DAB">
      <w:pPr>
        <w:ind w:right="87"/>
        <w:jc w:val="both"/>
        <w:rPr>
          <w:rFonts w:ascii="Arial" w:hAnsi="Arial" w:eastAsia="Arial" w:cs="Arial"/>
          <w:sz w:val="22"/>
          <w:szCs w:val="22"/>
          <w:lang w:val="fr-FR"/>
        </w:rPr>
      </w:pPr>
      <w:r w:rsidRPr="006A3AD9">
        <w:rPr>
          <w:rFonts w:ascii="Arial" w:hAnsi="Arial" w:cs="Arial"/>
          <w:sz w:val="22"/>
          <w:szCs w:val="22"/>
          <w:lang w:val="fr"/>
        </w:rPr>
        <w:t xml:space="preserve">Les catégories de coûts suivantes doivent être énumérées dans le </w:t>
      </w:r>
      <w:r w:rsidRPr="006A3AD9" w:rsidR="00CA5C60">
        <w:rPr>
          <w:rFonts w:ascii="Arial" w:hAnsi="Arial" w:cs="Arial"/>
          <w:sz w:val="22"/>
          <w:szCs w:val="22"/>
          <w:lang w:val="fr"/>
        </w:rPr>
        <w:t>budget du projet</w:t>
      </w:r>
      <w:r w:rsidRPr="006A3AD9">
        <w:rPr>
          <w:rFonts w:ascii="Arial" w:hAnsi="Arial" w:cs="Arial"/>
          <w:lang w:val="fr"/>
        </w:rPr>
        <w:t xml:space="preserve"> </w:t>
      </w:r>
      <w:r w:rsidRPr="006A3AD9">
        <w:rPr>
          <w:rFonts w:ascii="Arial" w:hAnsi="Arial" w:cs="Arial"/>
          <w:sz w:val="22"/>
          <w:szCs w:val="22"/>
          <w:lang w:val="fr"/>
        </w:rPr>
        <w:t>:</w:t>
      </w:r>
    </w:p>
    <w:p w:rsidRPr="006A3AD9" w:rsidR="00274DAF" w:rsidP="00CA5C60" w:rsidRDefault="00632A7D" w14:paraId="2A5E69C6" w14:textId="4A59D723">
      <w:pPr>
        <w:pStyle w:val="Paragraphedeliste"/>
        <w:numPr>
          <w:ilvl w:val="0"/>
          <w:numId w:val="6"/>
        </w:numPr>
        <w:spacing w:before="1"/>
        <w:rPr>
          <w:rFonts w:ascii="Arial" w:hAnsi="Arial" w:eastAsia="Arial" w:cs="Arial"/>
          <w:sz w:val="22"/>
          <w:szCs w:val="22"/>
          <w:lang w:val="fr-FR"/>
        </w:rPr>
      </w:pPr>
      <w:r w:rsidRPr="006A3AD9">
        <w:rPr>
          <w:rFonts w:ascii="Arial" w:hAnsi="Arial" w:cs="Arial"/>
          <w:sz w:val="22"/>
          <w:szCs w:val="22"/>
          <w:lang w:val="fr"/>
        </w:rPr>
        <w:t>Rémunération des employés propres de l’</w:t>
      </w:r>
      <w:r w:rsidR="00894130">
        <w:rPr>
          <w:rFonts w:ascii="Arial" w:hAnsi="Arial" w:cs="Arial"/>
          <w:sz w:val="22"/>
          <w:szCs w:val="22"/>
          <w:lang w:val="fr"/>
        </w:rPr>
        <w:t>entreprise privée</w:t>
      </w:r>
    </w:p>
    <w:p w:rsidRPr="006A3AD9" w:rsidR="00274DAF" w:rsidP="00CA5C60" w:rsidRDefault="00632A7D" w14:paraId="030C9365" w14:textId="3DC79F35">
      <w:pPr>
        <w:pStyle w:val="Paragraphedeliste"/>
        <w:numPr>
          <w:ilvl w:val="0"/>
          <w:numId w:val="6"/>
        </w:numPr>
        <w:spacing w:line="240" w:lineRule="exact"/>
        <w:rPr>
          <w:rFonts w:ascii="Arial" w:hAnsi="Arial" w:eastAsia="Arial" w:cs="Arial"/>
          <w:sz w:val="22"/>
          <w:szCs w:val="22"/>
        </w:rPr>
      </w:pPr>
      <w:r w:rsidRPr="006A3AD9">
        <w:rPr>
          <w:rFonts w:ascii="Arial" w:hAnsi="Arial" w:cs="Arial"/>
          <w:sz w:val="22"/>
          <w:szCs w:val="22"/>
          <w:lang w:val="fr"/>
        </w:rPr>
        <w:t>Honoraires d’experts externes</w:t>
      </w:r>
    </w:p>
    <w:p w:rsidRPr="006A3AD9" w:rsidR="00274DAF" w:rsidP="00CA5C60" w:rsidRDefault="00632A7D" w14:paraId="147F4197" w14:textId="2E338481">
      <w:pPr>
        <w:pStyle w:val="Paragraphedeliste"/>
        <w:numPr>
          <w:ilvl w:val="0"/>
          <w:numId w:val="6"/>
        </w:numPr>
        <w:spacing w:before="1"/>
        <w:rPr>
          <w:rFonts w:ascii="Arial" w:hAnsi="Arial" w:eastAsia="Arial" w:cs="Arial"/>
          <w:sz w:val="22"/>
          <w:szCs w:val="22"/>
        </w:rPr>
      </w:pPr>
      <w:r w:rsidRPr="006A3AD9">
        <w:rPr>
          <w:rFonts w:ascii="Arial" w:hAnsi="Arial" w:cs="Arial"/>
          <w:sz w:val="22"/>
          <w:szCs w:val="22"/>
          <w:lang w:val="fr"/>
        </w:rPr>
        <w:t>Frais de déplacement, billets d’avion</w:t>
      </w:r>
    </w:p>
    <w:p w:rsidRPr="006A3AD9" w:rsidR="00274DAF" w:rsidP="00CA5C60" w:rsidRDefault="00632A7D" w14:paraId="4233D130" w14:textId="04E9E3B7">
      <w:pPr>
        <w:pStyle w:val="Paragraphedeliste"/>
        <w:numPr>
          <w:ilvl w:val="0"/>
          <w:numId w:val="6"/>
        </w:numPr>
        <w:spacing w:before="1"/>
        <w:rPr>
          <w:rFonts w:ascii="Arial" w:hAnsi="Arial" w:eastAsia="Arial" w:cs="Arial"/>
          <w:sz w:val="22"/>
          <w:szCs w:val="22"/>
        </w:rPr>
      </w:pPr>
      <w:r w:rsidRPr="006A3AD9">
        <w:rPr>
          <w:rFonts w:ascii="Arial" w:hAnsi="Arial" w:cs="Arial"/>
          <w:sz w:val="22"/>
          <w:szCs w:val="22"/>
          <w:lang w:val="fr"/>
        </w:rPr>
        <w:t>Coûts des biens d’équipement</w:t>
      </w:r>
    </w:p>
    <w:p w:rsidRPr="006A3AD9" w:rsidR="00274DAF" w:rsidP="00CA5C60" w:rsidRDefault="00632A7D" w14:paraId="58ECF9C6" w14:textId="1BD1A81E">
      <w:pPr>
        <w:pStyle w:val="Paragraphedeliste"/>
        <w:numPr>
          <w:ilvl w:val="0"/>
          <w:numId w:val="6"/>
        </w:numPr>
        <w:spacing w:line="240" w:lineRule="exact"/>
        <w:rPr>
          <w:rFonts w:ascii="Arial" w:hAnsi="Arial" w:eastAsia="Arial" w:cs="Arial"/>
          <w:sz w:val="22"/>
          <w:szCs w:val="22"/>
        </w:rPr>
      </w:pPr>
      <w:r w:rsidRPr="006A3AD9">
        <w:rPr>
          <w:rFonts w:ascii="Arial" w:hAnsi="Arial" w:cs="Arial"/>
          <w:sz w:val="22"/>
          <w:szCs w:val="22"/>
          <w:lang w:val="fr"/>
        </w:rPr>
        <w:t>Autres coûts</w:t>
      </w:r>
    </w:p>
    <w:p w:rsidR="003A6E73" w:rsidP="003A6E73" w:rsidRDefault="003A6E73" w14:paraId="5ED88463" w14:textId="77777777">
      <w:pPr>
        <w:spacing w:line="240" w:lineRule="exact"/>
        <w:ind w:right="1965"/>
        <w:jc w:val="both"/>
        <w:rPr>
          <w:sz w:val="22"/>
          <w:szCs w:val="22"/>
        </w:rPr>
      </w:pPr>
    </w:p>
    <w:p w:rsidR="00274DAF" w:rsidP="003A6E73" w:rsidRDefault="00632A7D" w14:paraId="26512CF1" w14:textId="11CC1F46">
      <w:pPr>
        <w:spacing w:line="240" w:lineRule="exact"/>
        <w:ind w:right="1965"/>
        <w:jc w:val="both"/>
        <w:rPr>
          <w:rFonts w:ascii="Arial" w:hAnsi="Arial" w:cs="Arial"/>
          <w:position w:val="-1"/>
          <w:sz w:val="22"/>
          <w:szCs w:val="22"/>
          <w:lang w:val="fr"/>
        </w:rPr>
      </w:pPr>
      <w:r w:rsidRPr="00894130">
        <w:rPr>
          <w:rFonts w:ascii="Arial" w:hAnsi="Arial" w:cs="Arial"/>
          <w:position w:val="-1"/>
          <w:sz w:val="22"/>
          <w:szCs w:val="22"/>
          <w:lang w:val="fr"/>
        </w:rPr>
        <w:t>Les caractéristiques spécifiques des catégories de coûts sont expliquées plus en détail ci-dessous.</w:t>
      </w:r>
    </w:p>
    <w:p w:rsidRPr="00894130" w:rsidR="00257AE1" w:rsidP="003A6E73" w:rsidRDefault="00257AE1" w14:paraId="14BB3953" w14:textId="77777777">
      <w:pPr>
        <w:spacing w:line="240" w:lineRule="exact"/>
        <w:ind w:right="1965"/>
        <w:jc w:val="both"/>
        <w:rPr>
          <w:rFonts w:ascii="Arial" w:hAnsi="Arial" w:eastAsia="Arial" w:cs="Arial"/>
          <w:sz w:val="22"/>
          <w:szCs w:val="22"/>
          <w:lang w:val="fr-FR"/>
        </w:rPr>
      </w:pPr>
    </w:p>
    <w:p w:rsidRPr="00894130" w:rsidR="00274DAF" w:rsidP="60202667" w:rsidRDefault="00274DAF" w14:paraId="1335DA24" w14:textId="77777777">
      <w:pPr>
        <w:spacing w:before="1" w:line="160" w:lineRule="exact"/>
        <w:rPr>
          <w:rFonts w:ascii="Arial" w:hAnsi="Arial" w:cs="Arial"/>
          <w:b/>
          <w:bCs/>
          <w:sz w:val="17"/>
          <w:szCs w:val="17"/>
          <w:lang w:val="fr-FR"/>
        </w:rPr>
      </w:pPr>
    </w:p>
    <w:p w:rsidRPr="00894130" w:rsidR="00274DAF" w:rsidP="60202667" w:rsidRDefault="30CBA042" w14:paraId="3795532D" w14:textId="2EE02156">
      <w:pPr>
        <w:spacing w:before="20" w:line="200" w:lineRule="exact"/>
        <w:rPr>
          <w:rFonts w:ascii="Arial" w:hAnsi="Arial" w:eastAsia="Arial" w:cs="Arial"/>
          <w:b/>
          <w:bCs/>
          <w:sz w:val="22"/>
          <w:szCs w:val="22"/>
          <w:lang w:val="fr-FR"/>
        </w:rPr>
      </w:pPr>
      <w:r w:rsidRPr="00894130">
        <w:rPr>
          <w:rFonts w:ascii="Arial" w:hAnsi="Arial" w:cs="Arial"/>
          <w:b/>
          <w:bCs/>
          <w:sz w:val="22"/>
          <w:szCs w:val="22"/>
          <w:lang w:val="fr"/>
        </w:rPr>
        <w:t>Rémunération des employés et des frais de personnel de l’entreprise privée</w:t>
      </w:r>
    </w:p>
    <w:p w:rsidRPr="00894130" w:rsidR="00274DAF" w:rsidP="60202667" w:rsidRDefault="00274DAF" w14:paraId="29D44839" w14:textId="2B5AEA27">
      <w:pPr>
        <w:spacing w:before="20" w:line="200" w:lineRule="exact"/>
        <w:rPr>
          <w:rFonts w:ascii="Arial" w:hAnsi="Arial" w:eastAsia="Arial" w:cs="Arial"/>
          <w:b/>
          <w:bCs/>
          <w:sz w:val="22"/>
          <w:szCs w:val="22"/>
          <w:lang w:val="fr-FR"/>
        </w:rPr>
      </w:pPr>
    </w:p>
    <w:p w:rsidRPr="00894130" w:rsidR="00274DAF" w:rsidP="72DA4860" w:rsidRDefault="00632A7D" w14:paraId="6C8E8E50" w14:textId="78AFB3E3">
      <w:pPr>
        <w:spacing w:before="20" w:line="220" w:lineRule="exact"/>
        <w:rPr>
          <w:rFonts w:ascii="Arial" w:hAnsi="Arial" w:cs="Arial"/>
          <w:sz w:val="22"/>
          <w:szCs w:val="22"/>
          <w:lang w:val="fr-FR"/>
        </w:rPr>
      </w:pPr>
      <w:r w:rsidRPr="00894130">
        <w:rPr>
          <w:rFonts w:ascii="Arial" w:hAnsi="Arial" w:cs="Arial"/>
          <w:sz w:val="22"/>
          <w:szCs w:val="22"/>
          <w:lang w:val="fr"/>
        </w:rPr>
        <w:t xml:space="preserve">Il s’agit notamment des coûts directs du personnel directement affecté au projet financé, y compris les frais </w:t>
      </w:r>
      <w:r w:rsidRPr="00894130" w:rsidR="00257AE1">
        <w:rPr>
          <w:rFonts w:ascii="Arial" w:hAnsi="Arial" w:cs="Arial"/>
          <w:sz w:val="22"/>
          <w:szCs w:val="22"/>
          <w:lang w:val="fr"/>
        </w:rPr>
        <w:t>auxiliaires</w:t>
      </w:r>
      <w:r w:rsidRPr="00894130">
        <w:rPr>
          <w:rFonts w:ascii="Arial" w:hAnsi="Arial" w:cs="Arial"/>
          <w:sz w:val="22"/>
          <w:szCs w:val="22"/>
          <w:lang w:val="fr"/>
        </w:rPr>
        <w:t xml:space="preserve"> de personnel </w:t>
      </w:r>
      <w:r w:rsidRPr="00CA1AEE">
        <w:rPr>
          <w:rFonts w:ascii="Arial" w:hAnsi="Arial" w:cs="Arial"/>
          <w:sz w:val="22"/>
          <w:szCs w:val="22"/>
          <w:lang w:val="fr"/>
        </w:rPr>
        <w:t>statutaire</w:t>
      </w:r>
      <w:r w:rsidRPr="00894130">
        <w:rPr>
          <w:rFonts w:ascii="Arial" w:hAnsi="Arial" w:cs="Arial"/>
          <w:sz w:val="22"/>
          <w:szCs w:val="22"/>
          <w:lang w:val="fr"/>
        </w:rPr>
        <w:t xml:space="preserve">. Les tarifs journaliers pour les propres employés du </w:t>
      </w:r>
      <w:r w:rsidR="00C80C4B">
        <w:rPr>
          <w:rFonts w:ascii="Arial" w:hAnsi="Arial" w:cs="Arial"/>
          <w:sz w:val="22"/>
          <w:szCs w:val="22"/>
          <w:lang w:val="fr"/>
        </w:rPr>
        <w:t>partenaire priv</w:t>
      </w:r>
      <w:r w:rsidRPr="00894130" w:rsidR="00C34435">
        <w:rPr>
          <w:rFonts w:ascii="Arial" w:hAnsi="Arial" w:cs="Arial"/>
          <w:sz w:val="22"/>
          <w:szCs w:val="22"/>
          <w:lang w:val="fr"/>
        </w:rPr>
        <w:t>é</w:t>
      </w:r>
      <w:r w:rsidRPr="00894130">
        <w:rPr>
          <w:rFonts w:ascii="Arial" w:hAnsi="Arial" w:cs="Arial"/>
          <w:sz w:val="22"/>
          <w:szCs w:val="22"/>
          <w:lang w:val="fr"/>
        </w:rPr>
        <w:t xml:space="preserve"> doivent être indiqués ici. Les tarifs journaliers estimés doivent être facturés et correspondent aux </w:t>
      </w:r>
      <w:r w:rsidRPr="00894130">
        <w:rPr>
          <w:rFonts w:ascii="Arial" w:hAnsi="Arial" w:cs="Arial"/>
          <w:sz w:val="22"/>
          <w:szCs w:val="22"/>
          <w:u w:val="single"/>
          <w:lang w:val="fr"/>
        </w:rPr>
        <w:t xml:space="preserve">coûts </w:t>
      </w:r>
      <w:r w:rsidRPr="00CA1AEE">
        <w:rPr>
          <w:rFonts w:ascii="Arial" w:hAnsi="Arial" w:cs="Arial"/>
          <w:sz w:val="22"/>
          <w:szCs w:val="22"/>
          <w:u w:val="single"/>
          <w:lang w:val="fr"/>
        </w:rPr>
        <w:t>directs.</w:t>
      </w:r>
      <w:r w:rsidRPr="00894130">
        <w:rPr>
          <w:rFonts w:ascii="Arial" w:hAnsi="Arial" w:cs="Arial"/>
          <w:sz w:val="22"/>
          <w:szCs w:val="22"/>
          <w:lang w:val="fr"/>
        </w:rPr>
        <w:t xml:space="preserve"> </w:t>
      </w:r>
    </w:p>
    <w:p w:rsidRPr="00894130" w:rsidR="00274DAF" w:rsidP="72DA4860" w:rsidRDefault="009B21E7" w14:paraId="33F67EA9" w14:textId="7E6BB17A">
      <w:pPr>
        <w:ind w:right="72"/>
        <w:jc w:val="both"/>
        <w:rPr>
          <w:rFonts w:ascii="Arial" w:hAnsi="Arial" w:eastAsia="Arial" w:cs="Arial"/>
          <w:sz w:val="22"/>
          <w:szCs w:val="22"/>
          <w:lang w:val="fr-FR"/>
        </w:rPr>
      </w:pPr>
      <w:r w:rsidRPr="00894130">
        <w:rPr>
          <w:rFonts w:ascii="Arial" w:hAnsi="Arial" w:cs="Arial"/>
          <w:sz w:val="22"/>
          <w:szCs w:val="22"/>
          <w:lang w:val="fr"/>
        </w:rPr>
        <w:t>Veuillez calculer et inclure toute augmentation de salaire ou de négociation collective lors de la préparation du budget du projet. Le budget ne peut pas être modifié ultérieurement en raison d’une augmentation de salaire.</w:t>
      </w:r>
    </w:p>
    <w:p w:rsidRPr="009E0268" w:rsidR="00274DAF" w:rsidP="00703B1D" w:rsidRDefault="00632A7D" w14:paraId="0704115E" w14:textId="29E70A7C">
      <w:pPr>
        <w:ind w:right="72"/>
        <w:rPr>
          <w:rFonts w:ascii="Arial" w:hAnsi="Arial" w:cs="Arial"/>
          <w:sz w:val="22"/>
          <w:szCs w:val="22"/>
          <w:lang w:val="fr-FR"/>
        </w:rPr>
      </w:pPr>
      <w:r w:rsidRPr="009E0268">
        <w:rPr>
          <w:rFonts w:ascii="Arial" w:hAnsi="Arial" w:cs="Arial"/>
          <w:sz w:val="22"/>
          <w:szCs w:val="22"/>
          <w:lang w:val="fr"/>
        </w:rPr>
        <w:lastRenderedPageBreak/>
        <w:t xml:space="preserve">Lors du règlement des coûts, les valeurs réelles confirmées par l’auditeur public (selon les données financières historiques auditées) sont utilisées. </w:t>
      </w:r>
    </w:p>
    <w:p w:rsidRPr="009E0268" w:rsidR="00274DAF" w:rsidRDefault="00274DAF" w14:paraId="650EDEF7" w14:textId="77777777">
      <w:pPr>
        <w:spacing w:before="19" w:line="220" w:lineRule="exact"/>
        <w:rPr>
          <w:rFonts w:ascii="Arial" w:hAnsi="Arial" w:cs="Arial"/>
          <w:sz w:val="22"/>
          <w:szCs w:val="22"/>
          <w:lang w:val="fr-FR"/>
        </w:rPr>
      </w:pPr>
    </w:p>
    <w:p w:rsidRPr="009E0268" w:rsidR="009E0268" w:rsidRDefault="009E0268" w14:paraId="23DC6741" w14:textId="5AD15800">
      <w:pPr>
        <w:spacing w:before="19" w:line="220" w:lineRule="exact"/>
        <w:rPr>
          <w:rFonts w:ascii="Arial" w:hAnsi="Arial" w:cs="Arial"/>
          <w:b/>
          <w:bCs/>
          <w:sz w:val="22"/>
          <w:szCs w:val="22"/>
          <w:lang w:val="fr-FR"/>
        </w:rPr>
      </w:pPr>
      <w:r w:rsidRPr="009E0268">
        <w:rPr>
          <w:rFonts w:ascii="Arial" w:hAnsi="Arial" w:cs="Arial"/>
          <w:b/>
          <w:bCs/>
          <w:sz w:val="22"/>
          <w:szCs w:val="22"/>
          <w:lang w:val="fr-FR"/>
        </w:rPr>
        <w:t>Frais de déplacement, billets d’avion</w:t>
      </w:r>
    </w:p>
    <w:p w:rsidRPr="009E0268" w:rsidR="009E0268" w:rsidRDefault="009E0268" w14:paraId="545F0367" w14:textId="77777777">
      <w:pPr>
        <w:spacing w:before="19" w:line="220" w:lineRule="exact"/>
        <w:rPr>
          <w:rFonts w:ascii="Arial" w:hAnsi="Arial" w:cs="Arial"/>
          <w:sz w:val="22"/>
          <w:szCs w:val="22"/>
          <w:lang w:val="fr-FR"/>
        </w:rPr>
      </w:pPr>
    </w:p>
    <w:p w:rsidRPr="000578AA" w:rsidR="00274DAF" w:rsidP="000578AA" w:rsidRDefault="00632A7D" w14:paraId="601DBD40" w14:textId="69377C52">
      <w:pPr>
        <w:spacing w:before="1" w:after="200" w:line="276" w:lineRule="auto"/>
        <w:rPr>
          <w:rFonts w:ascii="Arial" w:hAnsi="Arial" w:cs="Arial"/>
          <w:b/>
          <w:bCs/>
          <w:color w:val="000000" w:themeColor="text1"/>
          <w:sz w:val="22"/>
          <w:szCs w:val="22"/>
          <w:lang w:val="fr"/>
        </w:rPr>
      </w:pPr>
      <w:r w:rsidRPr="009E0268">
        <w:rPr>
          <w:rFonts w:ascii="Arial" w:hAnsi="Arial" w:cs="Arial"/>
          <w:sz w:val="22"/>
          <w:szCs w:val="22"/>
          <w:lang w:val="fr"/>
        </w:rPr>
        <w:t xml:space="preserve">Lors de l’indication des frais de voyage, les indemnités </w:t>
      </w:r>
      <w:r w:rsidRPr="009E0268">
        <w:rPr>
          <w:rFonts w:ascii="Arial" w:hAnsi="Arial" w:cs="Arial"/>
          <w:sz w:val="22"/>
          <w:szCs w:val="22"/>
          <w:u w:val="single"/>
          <w:lang w:val="fr"/>
        </w:rPr>
        <w:t>forfaitaires</w:t>
      </w:r>
      <w:r w:rsidRPr="009E0268">
        <w:rPr>
          <w:rFonts w:ascii="Arial" w:hAnsi="Arial" w:cs="Arial"/>
          <w:sz w:val="22"/>
          <w:szCs w:val="22"/>
          <w:lang w:val="fr"/>
        </w:rPr>
        <w:t xml:space="preserve"> </w:t>
      </w:r>
      <w:r w:rsidRPr="009E0268" w:rsidR="00703B1D">
        <w:rPr>
          <w:rFonts w:ascii="Arial" w:hAnsi="Arial" w:cs="Arial"/>
          <w:sz w:val="22"/>
          <w:szCs w:val="22"/>
          <w:lang w:val="fr"/>
        </w:rPr>
        <w:t>de subsistance</w:t>
      </w:r>
      <w:r w:rsidRPr="009E0268">
        <w:rPr>
          <w:rFonts w:ascii="Arial" w:hAnsi="Arial" w:cs="Arial"/>
          <w:sz w:val="22"/>
          <w:szCs w:val="22"/>
          <w:lang w:val="fr"/>
        </w:rPr>
        <w:t xml:space="preserve"> / indemnités journalières et les frais d’hébergement pour la nuit sont éligibles au remboursement aux taux maximaux (fondés sur des preuves). Cela ne doit pas dépasser les taux forfaitaires standard de la GIZ dans le pays respectif applicables à la date de signature de l’accord (cela peut être </w:t>
      </w:r>
      <w:r w:rsidRPr="00703B1D">
        <w:rPr>
          <w:rFonts w:ascii="Arial" w:hAnsi="Arial" w:cs="Arial"/>
          <w:sz w:val="22"/>
          <w:szCs w:val="22"/>
          <w:lang w:val="fr"/>
        </w:rPr>
        <w:t xml:space="preserve">fourni par l’équipe de la </w:t>
      </w:r>
      <w:r w:rsidRPr="000578AA" w:rsidR="000578AA">
        <w:rPr>
          <w:rFonts w:ascii="Arial" w:hAnsi="Arial" w:cs="Arial"/>
          <w:b/>
          <w:bCs/>
          <w:color w:val="000000" w:themeColor="text1"/>
          <w:sz w:val="22"/>
          <w:szCs w:val="22"/>
          <w:lang w:val="fr"/>
        </w:rPr>
        <w:t xml:space="preserve">Facilité d'Appui aux Entreprises pour des Chaînes de Valeur Agricoles Résilientes </w:t>
      </w:r>
      <w:r w:rsidRPr="00703B1D" w:rsidR="00703B1D">
        <w:rPr>
          <w:rFonts w:ascii="Arial" w:hAnsi="Arial" w:cs="Arial"/>
          <w:sz w:val="22"/>
          <w:szCs w:val="22"/>
          <w:lang w:val="fr"/>
        </w:rPr>
        <w:t>sur</w:t>
      </w:r>
      <w:r w:rsidRPr="00703B1D" w:rsidR="00F86D6B">
        <w:rPr>
          <w:rFonts w:ascii="Arial" w:hAnsi="Arial" w:cs="Arial"/>
          <w:sz w:val="22"/>
          <w:szCs w:val="22"/>
          <w:lang w:val="fr"/>
        </w:rPr>
        <w:t xml:space="preserve"> demande).</w:t>
      </w:r>
      <w:bookmarkStart w:name="_Hlk100048973" w:id="1"/>
      <w:bookmarkEnd w:id="1"/>
    </w:p>
    <w:p w:rsidRPr="00703B1D" w:rsidR="00DA1326" w:rsidP="0026674D" w:rsidRDefault="00632A7D" w14:paraId="04226E70" w14:textId="5C40EC4E">
      <w:pPr>
        <w:ind w:right="1037"/>
        <w:rPr>
          <w:rFonts w:ascii="Arial" w:hAnsi="Arial" w:eastAsia="Arial" w:cs="Arial"/>
          <w:sz w:val="22"/>
          <w:szCs w:val="22"/>
          <w:lang w:val="fr-FR"/>
        </w:rPr>
      </w:pPr>
      <w:r w:rsidRPr="00703B1D">
        <w:rPr>
          <w:rFonts w:ascii="Arial" w:hAnsi="Arial" w:cs="Arial"/>
          <w:sz w:val="22"/>
          <w:szCs w:val="22"/>
          <w:lang w:val="fr"/>
        </w:rPr>
        <w:t>Les coûts affichés pour les billets d’avion doivent être en classe économique uniquement (pas de classe économique premium).</w:t>
      </w:r>
    </w:p>
    <w:p w:rsidRPr="00703B1D" w:rsidR="00DA1326" w:rsidRDefault="00DA1326" w14:paraId="12AE9894" w14:textId="4F201BB7">
      <w:pPr>
        <w:ind w:left="116" w:right="1037"/>
        <w:jc w:val="both"/>
        <w:rPr>
          <w:rFonts w:ascii="Arial" w:hAnsi="Arial" w:eastAsia="Arial" w:cs="Arial"/>
          <w:sz w:val="22"/>
          <w:szCs w:val="22"/>
          <w:lang w:val="fr-FR"/>
        </w:rPr>
      </w:pPr>
    </w:p>
    <w:p w:rsidRPr="00703B1D" w:rsidR="00DA1326" w:rsidP="72DA4860" w:rsidRDefault="00DA1326" w14:paraId="08EDC89B" w14:textId="33F3F248">
      <w:pPr>
        <w:ind w:right="1037"/>
        <w:jc w:val="both"/>
        <w:rPr>
          <w:rFonts w:ascii="Arial" w:hAnsi="Arial" w:eastAsia="Arial" w:cs="Arial"/>
          <w:b/>
          <w:bCs/>
          <w:sz w:val="22"/>
          <w:szCs w:val="22"/>
          <w:lang w:val="fr-FR"/>
        </w:rPr>
      </w:pPr>
      <w:r w:rsidRPr="00703B1D">
        <w:rPr>
          <w:rFonts w:ascii="Arial" w:hAnsi="Arial" w:cs="Arial"/>
          <w:b/>
          <w:bCs/>
          <w:sz w:val="22"/>
          <w:szCs w:val="22"/>
          <w:lang w:val="fr"/>
        </w:rPr>
        <w:t>Prestataires de services externes</w:t>
      </w:r>
    </w:p>
    <w:p w:rsidRPr="00703B1D" w:rsidR="00DA1326" w:rsidP="00DA1326" w:rsidRDefault="00DA1326" w14:paraId="25359077" w14:textId="77777777">
      <w:pPr>
        <w:ind w:left="116" w:right="1037"/>
        <w:jc w:val="both"/>
        <w:rPr>
          <w:rFonts w:ascii="Arial" w:hAnsi="Arial" w:eastAsia="Arial" w:cs="Arial"/>
          <w:sz w:val="22"/>
          <w:szCs w:val="22"/>
          <w:lang w:val="fr-FR"/>
        </w:rPr>
      </w:pPr>
    </w:p>
    <w:p w:rsidRPr="00703B1D" w:rsidR="00DA1326" w:rsidP="72DA4860" w:rsidRDefault="00DA1326" w14:paraId="15F3C708" w14:textId="7B527E8F">
      <w:pPr>
        <w:ind w:right="1037"/>
        <w:jc w:val="both"/>
        <w:rPr>
          <w:rFonts w:ascii="Arial" w:hAnsi="Arial" w:eastAsia="Arial" w:cs="Arial"/>
          <w:sz w:val="22"/>
          <w:szCs w:val="22"/>
          <w:lang w:val="fr-FR"/>
        </w:rPr>
      </w:pPr>
      <w:r w:rsidRPr="00703B1D">
        <w:rPr>
          <w:rFonts w:ascii="Arial" w:hAnsi="Arial" w:cs="Arial"/>
          <w:sz w:val="22"/>
          <w:szCs w:val="22"/>
          <w:lang w:val="fr"/>
        </w:rPr>
        <w:t xml:space="preserve">Cela inclut tous les contrats avec des </w:t>
      </w:r>
      <w:r w:rsidRPr="008E1703">
        <w:rPr>
          <w:rFonts w:ascii="Arial" w:hAnsi="Arial" w:cs="Arial"/>
          <w:sz w:val="22"/>
          <w:szCs w:val="22"/>
          <w:lang w:val="fr"/>
        </w:rPr>
        <w:t xml:space="preserve">sous-traitants </w:t>
      </w:r>
      <w:r w:rsidRPr="00703B1D">
        <w:rPr>
          <w:rFonts w:ascii="Arial" w:hAnsi="Arial" w:cs="Arial"/>
          <w:sz w:val="22"/>
          <w:szCs w:val="22"/>
          <w:lang w:val="fr"/>
        </w:rPr>
        <w:t>ou des entreprises externes, par exemple :</w:t>
      </w:r>
    </w:p>
    <w:p w:rsidRPr="00703B1D" w:rsidR="00DA1326" w:rsidP="003D0A46" w:rsidRDefault="4F1CCC94" w14:paraId="44666797" w14:textId="0B3D5BAC">
      <w:pPr>
        <w:pStyle w:val="Paragraphedeliste"/>
        <w:numPr>
          <w:ilvl w:val="0"/>
          <w:numId w:val="8"/>
        </w:numPr>
        <w:ind w:right="1037"/>
        <w:jc w:val="both"/>
        <w:rPr>
          <w:rFonts w:ascii="Arial" w:hAnsi="Arial" w:eastAsia="Arial" w:cs="Arial"/>
          <w:sz w:val="22"/>
          <w:szCs w:val="22"/>
        </w:rPr>
      </w:pPr>
      <w:r w:rsidRPr="00703B1D">
        <w:rPr>
          <w:rFonts w:ascii="Arial" w:hAnsi="Arial" w:cs="Arial"/>
          <w:sz w:val="22"/>
          <w:szCs w:val="22"/>
          <w:lang w:val="fr"/>
        </w:rPr>
        <w:t>les coûts des ateliers, séminaires et activités de formation externes (y compris tous les services pertinents pour les ateliers, p. ex., la facilitation). Les experts peuvent être répertoriés individuellement ou regroupés dans un pool. Le profil des exigences techniques des experts doit être décrit. Les procédures d’attribution doivent être documentées.</w:t>
      </w:r>
    </w:p>
    <w:p w:rsidRPr="001733A7" w:rsidR="00DA1326" w:rsidP="003D0A46" w:rsidRDefault="00DA1326" w14:paraId="27A0EA58" w14:textId="7742DD52">
      <w:pPr>
        <w:pStyle w:val="Paragraphedeliste"/>
        <w:numPr>
          <w:ilvl w:val="0"/>
          <w:numId w:val="8"/>
        </w:numPr>
        <w:ind w:right="1037"/>
        <w:jc w:val="both"/>
        <w:rPr>
          <w:rFonts w:ascii="Arial" w:hAnsi="Arial" w:eastAsia="Arial" w:cs="Arial"/>
          <w:sz w:val="22"/>
          <w:szCs w:val="22"/>
          <w:lang w:val="fr-FR"/>
        </w:rPr>
      </w:pPr>
      <w:r w:rsidRPr="001733A7">
        <w:rPr>
          <w:rFonts w:ascii="Arial" w:hAnsi="Arial" w:cs="Arial"/>
          <w:sz w:val="22"/>
          <w:szCs w:val="22"/>
          <w:lang w:val="fr"/>
        </w:rPr>
        <w:t>Production et impression de matériel didactique et d’information</w:t>
      </w:r>
    </w:p>
    <w:p w:rsidRPr="001733A7" w:rsidR="00DA1326" w:rsidP="003D0A46" w:rsidRDefault="00DA1326" w14:paraId="634AE751" w14:textId="387E074D">
      <w:pPr>
        <w:pStyle w:val="Paragraphedeliste"/>
        <w:numPr>
          <w:ilvl w:val="0"/>
          <w:numId w:val="8"/>
        </w:numPr>
        <w:ind w:right="1037"/>
        <w:jc w:val="both"/>
        <w:rPr>
          <w:rFonts w:ascii="Arial" w:hAnsi="Arial" w:eastAsia="Arial" w:cs="Arial"/>
          <w:sz w:val="22"/>
          <w:szCs w:val="22"/>
        </w:rPr>
      </w:pPr>
      <w:r w:rsidRPr="001733A7">
        <w:rPr>
          <w:rFonts w:ascii="Arial" w:hAnsi="Arial" w:cs="Arial"/>
          <w:sz w:val="22"/>
          <w:szCs w:val="22"/>
          <w:lang w:val="fr"/>
        </w:rPr>
        <w:t>Préparation des études</w:t>
      </w:r>
    </w:p>
    <w:p w:rsidRPr="001733A7" w:rsidR="7E387F97" w:rsidP="60202667" w:rsidRDefault="7E387F97" w14:paraId="47EC37DA" w14:textId="636EA552">
      <w:pPr>
        <w:pStyle w:val="Paragraphedeliste"/>
        <w:numPr>
          <w:ilvl w:val="0"/>
          <w:numId w:val="8"/>
        </w:numPr>
        <w:ind w:right="1037"/>
        <w:jc w:val="both"/>
        <w:rPr>
          <w:rFonts w:ascii="Arial" w:hAnsi="Arial" w:eastAsia="Arial" w:cs="Arial"/>
          <w:sz w:val="22"/>
          <w:szCs w:val="22"/>
        </w:rPr>
      </w:pPr>
      <w:r w:rsidRPr="001733A7">
        <w:rPr>
          <w:rFonts w:ascii="Arial" w:hAnsi="Arial" w:cs="Arial"/>
          <w:sz w:val="22"/>
          <w:szCs w:val="22"/>
          <w:lang w:val="fr"/>
        </w:rPr>
        <w:t xml:space="preserve">Prestation de services </w:t>
      </w:r>
      <w:r w:rsidRPr="008E1703">
        <w:rPr>
          <w:rFonts w:ascii="Arial" w:hAnsi="Arial" w:cs="Arial"/>
          <w:sz w:val="22"/>
          <w:szCs w:val="22"/>
          <w:lang w:val="fr"/>
        </w:rPr>
        <w:t>de conseil</w:t>
      </w:r>
    </w:p>
    <w:p w:rsidRPr="001733A7" w:rsidR="00DA1326" w:rsidP="003D0A46" w:rsidRDefault="00DA1326" w14:paraId="18768081" w14:textId="142976C1">
      <w:pPr>
        <w:pStyle w:val="Paragraphedeliste"/>
        <w:numPr>
          <w:ilvl w:val="0"/>
          <w:numId w:val="8"/>
        </w:numPr>
        <w:ind w:right="1037"/>
        <w:jc w:val="both"/>
        <w:rPr>
          <w:rFonts w:ascii="Arial" w:hAnsi="Arial" w:eastAsia="Arial" w:cs="Arial"/>
          <w:sz w:val="22"/>
          <w:szCs w:val="22"/>
          <w:lang w:val="fr-FR"/>
        </w:rPr>
      </w:pPr>
      <w:r w:rsidRPr="001733A7">
        <w:rPr>
          <w:rFonts w:ascii="Arial" w:hAnsi="Arial" w:cs="Arial"/>
          <w:sz w:val="22"/>
          <w:szCs w:val="22"/>
          <w:lang w:val="fr"/>
        </w:rPr>
        <w:t>Frais de transport et de logistique</w:t>
      </w:r>
    </w:p>
    <w:p w:rsidRPr="001733A7" w:rsidR="00274DAF" w:rsidRDefault="00274DAF" w14:paraId="35783AAF" w14:textId="77777777">
      <w:pPr>
        <w:spacing w:before="19" w:line="220" w:lineRule="exact"/>
        <w:rPr>
          <w:rFonts w:ascii="Arial" w:hAnsi="Arial" w:cs="Arial"/>
          <w:sz w:val="22"/>
          <w:szCs w:val="22"/>
          <w:lang w:val="fr-FR"/>
        </w:rPr>
      </w:pPr>
    </w:p>
    <w:p w:rsidRPr="001733A7" w:rsidR="00274DAF" w:rsidP="72DA4860" w:rsidRDefault="00632A7D" w14:paraId="60702004" w14:textId="2CEAD6A9">
      <w:pPr>
        <w:ind w:right="1853"/>
        <w:jc w:val="both"/>
        <w:rPr>
          <w:rFonts w:ascii="Arial" w:hAnsi="Arial" w:eastAsia="Arial" w:cs="Arial"/>
          <w:sz w:val="22"/>
          <w:szCs w:val="22"/>
          <w:lang w:val="fr-FR"/>
        </w:rPr>
      </w:pPr>
      <w:r w:rsidRPr="001733A7">
        <w:rPr>
          <w:rFonts w:ascii="Arial" w:hAnsi="Arial" w:cs="Arial"/>
          <w:b/>
          <w:bCs/>
          <w:sz w:val="22"/>
          <w:szCs w:val="22"/>
          <w:lang w:val="fr"/>
        </w:rPr>
        <w:t>Coûts d’équipement/biens d’équipement</w:t>
      </w:r>
    </w:p>
    <w:p w:rsidRPr="001733A7" w:rsidR="00274DAF" w:rsidRDefault="00274DAF" w14:paraId="48892E7E" w14:textId="77777777">
      <w:pPr>
        <w:spacing w:before="2" w:line="240" w:lineRule="exact"/>
        <w:rPr>
          <w:rFonts w:ascii="Arial" w:hAnsi="Arial" w:cs="Arial"/>
          <w:sz w:val="24"/>
          <w:szCs w:val="24"/>
          <w:lang w:val="fr-FR"/>
        </w:rPr>
      </w:pPr>
    </w:p>
    <w:p w:rsidRPr="001733A7" w:rsidR="00274DAF" w:rsidP="72DA4860" w:rsidRDefault="14B6A8F8" w14:paraId="51C966F9" w14:textId="4095D620">
      <w:pPr>
        <w:ind w:right="76"/>
        <w:jc w:val="both"/>
        <w:rPr>
          <w:rFonts w:ascii="Arial" w:hAnsi="Arial" w:eastAsia="Arial" w:cs="Arial"/>
          <w:sz w:val="22"/>
          <w:szCs w:val="22"/>
          <w:lang w:val="fr-FR"/>
        </w:rPr>
      </w:pPr>
      <w:r w:rsidRPr="001733A7">
        <w:rPr>
          <w:rFonts w:ascii="Arial" w:hAnsi="Arial" w:cs="Arial"/>
          <w:sz w:val="22"/>
          <w:szCs w:val="22"/>
          <w:lang w:val="fr"/>
        </w:rPr>
        <w:t xml:space="preserve">Pour l’achat d’équipement et d’autres biens d’équipement achetés pour les activités du Fonds de subvention de contrepartie, seul l’amortissement pendant la durée du contrat est admissible à un remboursement. Le coût de l’équipement et des biens d’équipement devrait être raisonnablement proportionnel au budget total du projet. Ces coûts ne doivent pas dépasser 30 % des coûts totaux (à titre indicatif). Pour l’amortissement, on suppose une durée de vie utile moyenne de cinq ans ou plus (p. ex., max. 20 % par an). Les PC ou le matériel informatique </w:t>
      </w:r>
      <w:r w:rsidR="001733A7">
        <w:rPr>
          <w:rFonts w:ascii="Arial" w:hAnsi="Arial" w:cs="Arial"/>
          <w:sz w:val="22"/>
          <w:szCs w:val="22"/>
          <w:lang w:val="fr"/>
        </w:rPr>
        <w:t>font</w:t>
      </w:r>
      <w:r w:rsidRPr="001733A7">
        <w:rPr>
          <w:rFonts w:ascii="Arial" w:hAnsi="Arial" w:cs="Arial"/>
          <w:sz w:val="22"/>
          <w:szCs w:val="22"/>
          <w:lang w:val="fr"/>
        </w:rPr>
        <w:t xml:space="preserve"> exception et sont amortis uniformément sur trois ans dans tous les partenariats de développement avec le secteur privé (c’est-à-dire à 33% par an). </w:t>
      </w:r>
    </w:p>
    <w:p w:rsidRPr="001733A7" w:rsidR="2313040F" w:rsidP="2313040F" w:rsidRDefault="2313040F" w14:paraId="7639587F" w14:textId="10F0AEBE">
      <w:pPr>
        <w:ind w:right="76"/>
        <w:jc w:val="both"/>
        <w:rPr>
          <w:rFonts w:ascii="Arial" w:hAnsi="Arial" w:eastAsia="Arial" w:cs="Arial"/>
          <w:sz w:val="22"/>
          <w:szCs w:val="22"/>
          <w:lang w:val="fr-FR"/>
        </w:rPr>
      </w:pPr>
    </w:p>
    <w:p w:rsidRPr="001733A7" w:rsidR="661A73EC" w:rsidP="2313040F" w:rsidRDefault="661A73EC" w14:paraId="40071D2D" w14:textId="026336A1">
      <w:pPr>
        <w:ind w:right="76"/>
        <w:jc w:val="both"/>
        <w:rPr>
          <w:rFonts w:ascii="Arial" w:hAnsi="Arial" w:eastAsia="Arial" w:cs="Arial"/>
          <w:b/>
          <w:bCs/>
          <w:sz w:val="22"/>
          <w:szCs w:val="22"/>
          <w:lang w:val="fr-FR"/>
        </w:rPr>
      </w:pPr>
      <w:r w:rsidRPr="001733A7">
        <w:rPr>
          <w:rFonts w:ascii="Arial" w:hAnsi="Arial" w:cs="Arial"/>
          <w:b/>
          <w:bCs/>
          <w:sz w:val="22"/>
          <w:szCs w:val="22"/>
          <w:lang w:val="fr"/>
        </w:rPr>
        <w:t xml:space="preserve">Amortissement et </w:t>
      </w:r>
      <w:r w:rsidRPr="008E1703">
        <w:rPr>
          <w:rFonts w:ascii="Arial" w:hAnsi="Arial" w:cs="Arial"/>
          <w:b/>
          <w:bCs/>
          <w:sz w:val="22"/>
          <w:szCs w:val="22"/>
          <w:lang w:val="fr"/>
        </w:rPr>
        <w:t>dépréciation</w:t>
      </w:r>
    </w:p>
    <w:p w:rsidR="7D251FF3" w:rsidP="2313040F" w:rsidRDefault="7D251FF3" w14:paraId="3BC04371" w14:textId="3946DF15">
      <w:pPr>
        <w:ind w:right="76"/>
        <w:jc w:val="both"/>
        <w:rPr>
          <w:rFonts w:ascii="Arial" w:hAnsi="Arial" w:cs="Arial"/>
          <w:sz w:val="22"/>
          <w:szCs w:val="22"/>
          <w:lang w:val="fr"/>
        </w:rPr>
      </w:pPr>
      <w:r w:rsidRPr="001733A7">
        <w:rPr>
          <w:rFonts w:ascii="Arial" w:hAnsi="Arial" w:cs="Arial"/>
          <w:sz w:val="22"/>
          <w:szCs w:val="22"/>
          <w:lang w:val="fr"/>
        </w:rPr>
        <w:t xml:space="preserve">Dans le cas de biens d’équipement encore à la disposition de la SOCIÉTÉ PRIVÉE pour un usage commercial après la durée du contrat, seul l’amortissement survenant pendant la durée du contrat est éligible au remboursement. </w:t>
      </w:r>
    </w:p>
    <w:p w:rsidRPr="001733A7" w:rsidR="00D37843" w:rsidP="2313040F" w:rsidRDefault="00D37843" w14:paraId="5BCA2EE2" w14:textId="77777777">
      <w:pPr>
        <w:ind w:right="76"/>
        <w:jc w:val="both"/>
        <w:rPr>
          <w:rFonts w:ascii="Arial" w:hAnsi="Arial" w:eastAsia="Arial" w:cs="Arial"/>
          <w:sz w:val="22"/>
          <w:szCs w:val="22"/>
          <w:lang w:val="fr-FR"/>
        </w:rPr>
      </w:pPr>
    </w:p>
    <w:p w:rsidR="7D251FF3" w:rsidP="2313040F" w:rsidRDefault="7D251FF3" w14:paraId="3814CB66" w14:textId="3FA9EAE9">
      <w:pPr>
        <w:ind w:right="76"/>
        <w:jc w:val="both"/>
        <w:rPr>
          <w:rFonts w:ascii="Arial" w:hAnsi="Arial" w:cs="Arial"/>
          <w:sz w:val="22"/>
          <w:szCs w:val="22"/>
          <w:lang w:val="fr"/>
        </w:rPr>
      </w:pPr>
      <w:r w:rsidRPr="001733A7">
        <w:rPr>
          <w:rFonts w:ascii="Arial" w:hAnsi="Arial" w:cs="Arial"/>
          <w:sz w:val="22"/>
          <w:szCs w:val="22"/>
          <w:lang w:val="fr"/>
        </w:rPr>
        <w:t xml:space="preserve">La part des biens d’équipement et/ou la durée de vie utile calculée au </w:t>
      </w:r>
      <w:r w:rsidRPr="008E1703">
        <w:rPr>
          <w:rFonts w:ascii="Arial" w:hAnsi="Arial" w:cs="Arial"/>
          <w:sz w:val="22"/>
          <w:szCs w:val="22"/>
          <w:lang w:val="fr"/>
        </w:rPr>
        <w:t>prorata</w:t>
      </w:r>
      <w:r w:rsidRPr="001733A7">
        <w:rPr>
          <w:rFonts w:ascii="Arial" w:hAnsi="Arial" w:cs="Arial"/>
          <w:sz w:val="22"/>
          <w:szCs w:val="22"/>
          <w:lang w:val="fr"/>
        </w:rPr>
        <w:t xml:space="preserve"> des éléments amortis ne </w:t>
      </w:r>
      <w:r w:rsidRPr="001733A7" w:rsidR="008E1703">
        <w:rPr>
          <w:rFonts w:ascii="Arial" w:hAnsi="Arial" w:cs="Arial"/>
          <w:sz w:val="22"/>
          <w:szCs w:val="22"/>
          <w:lang w:val="fr"/>
        </w:rPr>
        <w:t>peu</w:t>
      </w:r>
      <w:r w:rsidR="008E1703">
        <w:rPr>
          <w:rFonts w:ascii="Arial" w:hAnsi="Arial" w:cs="Arial"/>
          <w:sz w:val="22"/>
          <w:szCs w:val="22"/>
          <w:lang w:val="fr"/>
        </w:rPr>
        <w:t>t</w:t>
      </w:r>
      <w:r w:rsidRPr="001733A7">
        <w:rPr>
          <w:rFonts w:ascii="Arial" w:hAnsi="Arial" w:cs="Arial"/>
          <w:sz w:val="22"/>
          <w:szCs w:val="22"/>
          <w:lang w:val="fr"/>
        </w:rPr>
        <w:t xml:space="preserve"> toujours faire l’objet d’un remboursement que s</w:t>
      </w:r>
      <w:r w:rsidR="00D37843">
        <w:rPr>
          <w:rFonts w:ascii="Arial" w:hAnsi="Arial" w:cs="Arial"/>
          <w:sz w:val="22"/>
          <w:szCs w:val="22"/>
          <w:lang w:val="fr"/>
        </w:rPr>
        <w:t>’il</w:t>
      </w:r>
      <w:r w:rsidRPr="001733A7">
        <w:rPr>
          <w:rFonts w:ascii="Arial" w:hAnsi="Arial" w:cs="Arial"/>
          <w:sz w:val="22"/>
          <w:szCs w:val="22"/>
          <w:lang w:val="fr"/>
        </w:rPr>
        <w:t>s sont directement liés à la mise en œuvre du projet.</w:t>
      </w:r>
    </w:p>
    <w:p w:rsidRPr="001733A7" w:rsidR="00D37843" w:rsidP="2313040F" w:rsidRDefault="00D37843" w14:paraId="50C27928" w14:textId="77777777">
      <w:pPr>
        <w:ind w:right="76"/>
        <w:jc w:val="both"/>
        <w:rPr>
          <w:rFonts w:ascii="Arial" w:hAnsi="Arial" w:cs="Arial"/>
          <w:lang w:val="fr-FR"/>
        </w:rPr>
      </w:pPr>
    </w:p>
    <w:p w:rsidRPr="00757AF6" w:rsidR="1B2C9415" w:rsidP="2313040F" w:rsidRDefault="1B2C9415" w14:paraId="2E68B20D" w14:textId="2364B104">
      <w:pPr>
        <w:ind w:right="76"/>
        <w:jc w:val="both"/>
        <w:rPr>
          <w:rFonts w:ascii="Arial" w:hAnsi="Arial" w:eastAsia="Arial" w:cs="Arial"/>
          <w:sz w:val="22"/>
          <w:szCs w:val="22"/>
          <w:lang w:val="fr-FR"/>
        </w:rPr>
      </w:pPr>
      <w:r w:rsidRPr="00D37843">
        <w:rPr>
          <w:rFonts w:ascii="Arial" w:hAnsi="Arial" w:cs="Arial"/>
          <w:sz w:val="22"/>
          <w:szCs w:val="22"/>
          <w:lang w:val="fr"/>
        </w:rPr>
        <w:t>En règle générale, la période d’amortissement pour les logiciels standard doit être basée sur la période d’amortissement du matériel, c’est-à-dire qu’elle doit être amortie sur une durée de vie utile habituelle de trois ans</w:t>
      </w:r>
      <w:r w:rsidRPr="2313040F">
        <w:rPr>
          <w:sz w:val="22"/>
          <w:szCs w:val="22"/>
          <w:lang w:val="fr"/>
        </w:rPr>
        <w:t xml:space="preserve">. </w:t>
      </w:r>
    </w:p>
    <w:p w:rsidRPr="00D37843" w:rsidR="1B2C9415" w:rsidP="2313040F" w:rsidRDefault="1B2C9415" w14:paraId="70FB0B54" w14:textId="1659F2F1">
      <w:pPr>
        <w:ind w:right="76"/>
        <w:jc w:val="both"/>
        <w:rPr>
          <w:rFonts w:ascii="Arial" w:hAnsi="Arial" w:cs="Arial"/>
          <w:lang w:val="fr-FR"/>
        </w:rPr>
      </w:pPr>
      <w:r w:rsidRPr="00D37843">
        <w:rPr>
          <w:rFonts w:ascii="Arial" w:hAnsi="Arial" w:cs="Arial"/>
          <w:sz w:val="22"/>
          <w:szCs w:val="22"/>
          <w:lang w:val="fr"/>
        </w:rPr>
        <w:lastRenderedPageBreak/>
        <w:t>Lors du calcul de l’amortissement, les normes applicables dans le pays d’affectation telles qu’elles figurent dans la comptabilité de la</w:t>
      </w:r>
      <w:r w:rsidR="00EB18F7">
        <w:rPr>
          <w:rFonts w:ascii="Arial" w:hAnsi="Arial" w:cs="Arial"/>
          <w:sz w:val="22"/>
          <w:szCs w:val="22"/>
          <w:lang w:val="fr"/>
        </w:rPr>
        <w:t xml:space="preserve"> société privée</w:t>
      </w:r>
      <w:r w:rsidRPr="00D37843">
        <w:rPr>
          <w:rFonts w:ascii="Arial" w:hAnsi="Arial" w:cs="Arial"/>
          <w:sz w:val="22"/>
          <w:szCs w:val="22"/>
          <w:lang w:val="fr"/>
        </w:rPr>
        <w:t xml:space="preserve"> sont déterminantes.</w:t>
      </w:r>
    </w:p>
    <w:p w:rsidRPr="00D37843" w:rsidR="000D1412" w:rsidRDefault="000D1412" w14:paraId="57C7E7B3" w14:textId="2B1098FE">
      <w:pPr>
        <w:ind w:left="116" w:right="76"/>
        <w:jc w:val="both"/>
        <w:rPr>
          <w:rFonts w:ascii="Arial" w:hAnsi="Arial" w:eastAsia="Arial" w:cs="Arial"/>
          <w:sz w:val="22"/>
          <w:szCs w:val="22"/>
          <w:lang w:val="fr-FR"/>
        </w:rPr>
      </w:pPr>
    </w:p>
    <w:p w:rsidRPr="00D37843" w:rsidR="00274DAF" w:rsidP="60202667" w:rsidRDefault="000D1412" w14:paraId="6FF3EDAB" w14:textId="2DD5C97C">
      <w:pPr>
        <w:ind w:right="76"/>
        <w:jc w:val="both"/>
        <w:rPr>
          <w:rFonts w:ascii="Arial" w:hAnsi="Arial" w:eastAsia="Arial" w:cs="Arial"/>
          <w:sz w:val="22"/>
          <w:szCs w:val="22"/>
          <w:lang w:val="fr-FR"/>
        </w:rPr>
      </w:pPr>
      <w:r w:rsidRPr="00D37843">
        <w:rPr>
          <w:rFonts w:ascii="Arial" w:hAnsi="Arial" w:cs="Arial"/>
          <w:sz w:val="22"/>
          <w:szCs w:val="22"/>
          <w:lang w:val="fr"/>
        </w:rPr>
        <w:t>Pour les matériaux et équipements fabriqués par l’entreprise, seuls les coûts réels (à l’exclusion des coûts de majoration ou de développement) peuvent être remboursés.</w:t>
      </w:r>
    </w:p>
    <w:p w:rsidRPr="00757AF6" w:rsidR="5080CA5C" w:rsidP="5080CA5C" w:rsidRDefault="5080CA5C" w14:paraId="47DC94B9" w14:textId="3A431A33">
      <w:pPr>
        <w:ind w:right="76"/>
        <w:jc w:val="both"/>
        <w:rPr>
          <w:rFonts w:ascii="Arial" w:hAnsi="Arial" w:eastAsia="Arial" w:cs="Arial"/>
          <w:sz w:val="22"/>
          <w:szCs w:val="22"/>
          <w:lang w:val="fr-FR"/>
        </w:rPr>
      </w:pPr>
    </w:p>
    <w:p w:rsidRPr="000578AA" w:rsidR="4B169692" w:rsidP="000578AA" w:rsidRDefault="4B169692" w14:paraId="2F617A9E" w14:textId="36C95A0A" w14:noSpellErr="1">
      <w:pPr>
        <w:spacing w:after="200" w:line="276" w:lineRule="auto"/>
        <w:rPr>
          <w:rFonts w:ascii="Arial" w:hAnsi="Arial" w:cs="Arial"/>
          <w:b w:val="1"/>
          <w:bCs w:val="1"/>
          <w:color w:val="00B050"/>
          <w:sz w:val="24"/>
          <w:szCs w:val="24"/>
          <w:lang w:val="fr"/>
        </w:rPr>
      </w:pPr>
      <w:r w:rsidRPr="4A208502" w:rsidR="4B169692">
        <w:rPr>
          <w:rFonts w:ascii="Arial" w:hAnsi="Arial" w:cs="Arial"/>
          <w:sz w:val="24"/>
          <w:szCs w:val="24"/>
          <w:lang w:val="fr"/>
        </w:rPr>
        <w:t>NB:</w:t>
      </w:r>
      <w:r w:rsidRPr="4A208502" w:rsidR="4B169692">
        <w:rPr>
          <w:rFonts w:ascii="Arial" w:hAnsi="Arial" w:cs="Arial"/>
          <w:sz w:val="24"/>
          <w:szCs w:val="24"/>
          <w:lang w:val="fr"/>
        </w:rPr>
        <w:t xml:space="preserve"> </w:t>
      </w:r>
      <w:r w:rsidRPr="4A208502" w:rsidR="4B169692">
        <w:rPr>
          <w:rFonts w:ascii="Arial" w:hAnsi="Arial" w:cs="Arial"/>
          <w:b w:val="1"/>
          <w:bCs w:val="1"/>
          <w:color w:val="00B050"/>
          <w:sz w:val="24"/>
          <w:szCs w:val="24"/>
          <w:lang w:val="fr"/>
        </w:rPr>
        <w:t xml:space="preserve">La </w:t>
      </w:r>
      <w:r w:rsidRPr="4A208502" w:rsidR="000578AA">
        <w:rPr>
          <w:rFonts w:ascii="Arial" w:hAnsi="Arial" w:cs="Arial"/>
          <w:b w:val="1"/>
          <w:bCs w:val="1"/>
          <w:color w:val="00B050"/>
          <w:sz w:val="24"/>
          <w:szCs w:val="24"/>
          <w:lang w:val="fr"/>
        </w:rPr>
        <w:t xml:space="preserve">Facilité d'Appui aux Entreprises pour des Chaînes de Valeur Agricoles Résilientes </w:t>
      </w:r>
      <w:r w:rsidRPr="4A208502" w:rsidR="4B169692">
        <w:rPr>
          <w:rFonts w:ascii="Arial" w:hAnsi="Arial" w:cs="Arial"/>
          <w:b w:val="1"/>
          <w:bCs w:val="1"/>
          <w:color w:val="00B050"/>
          <w:sz w:val="24"/>
          <w:szCs w:val="24"/>
          <w:lang w:val="fr"/>
        </w:rPr>
        <w:t>ne contribuera pas à d’énormes actifs fixes tels que des véhicules, des terrains, des ordinateurs, des meubles et des agencements, etc. pour ce contrat</w:t>
      </w:r>
      <w:r w:rsidRPr="4A208502" w:rsidR="00B11000">
        <w:rPr>
          <w:rFonts w:ascii="Arial" w:hAnsi="Arial" w:cs="Arial"/>
          <w:b w:val="1"/>
          <w:bCs w:val="1"/>
          <w:color w:val="00B050"/>
          <w:sz w:val="24"/>
          <w:szCs w:val="24"/>
          <w:lang w:val="fr"/>
        </w:rPr>
        <w:t>.</w:t>
      </w:r>
    </w:p>
    <w:p w:rsidRPr="00757AF6" w:rsidR="00274DAF" w:rsidRDefault="00274DAF" w14:paraId="7BF19EDF" w14:textId="3B4DA2BE">
      <w:pPr>
        <w:spacing w:before="20" w:line="220" w:lineRule="exact"/>
        <w:rPr>
          <w:sz w:val="22"/>
          <w:szCs w:val="22"/>
          <w:lang w:val="fr-FR"/>
        </w:rPr>
      </w:pPr>
      <w:r w:rsidRPr="4A208502" w:rsidR="201068A7">
        <w:rPr>
          <w:sz w:val="22"/>
          <w:szCs w:val="22"/>
          <w:lang w:val="fr-FR"/>
        </w:rPr>
        <w:t>Pour les ordinateurs, une dépréciation de 3 ans s'applique. À la fin du projet, les partenaires paient 33 % du coût d'origine de l'ordinateur portable et le conservent ou l'ordinateur portable est remis à d'autres partenaires publics.</w:t>
      </w:r>
    </w:p>
    <w:p w:rsidR="4A208502" w:rsidP="4A208502" w:rsidRDefault="4A208502" w14:paraId="767C2748" w14:textId="59812221">
      <w:pPr>
        <w:pStyle w:val="Normal"/>
        <w:spacing w:before="20" w:line="220" w:lineRule="exact"/>
        <w:rPr>
          <w:sz w:val="22"/>
          <w:szCs w:val="22"/>
          <w:lang w:val="fr-FR"/>
        </w:rPr>
      </w:pPr>
    </w:p>
    <w:p w:rsidRPr="00B11000" w:rsidR="00274DAF" w:rsidRDefault="00632A7D" w14:paraId="7F68C49F" w14:textId="77777777">
      <w:pPr>
        <w:ind w:left="474"/>
        <w:rPr>
          <w:rFonts w:ascii="Arial" w:hAnsi="Arial" w:eastAsia="Arial" w:cs="Arial"/>
          <w:sz w:val="22"/>
          <w:szCs w:val="22"/>
          <w:lang w:val="fr-FR"/>
        </w:rPr>
      </w:pPr>
      <w:r w:rsidRPr="00B11000">
        <w:rPr>
          <w:rFonts w:ascii="Arial" w:hAnsi="Arial" w:cs="Arial"/>
          <w:sz w:val="22"/>
          <w:szCs w:val="22"/>
          <w:lang w:val="fr"/>
        </w:rPr>
        <w:t xml:space="preserve">•   </w:t>
      </w:r>
      <w:r w:rsidRPr="00B11000">
        <w:rPr>
          <w:rFonts w:ascii="Arial" w:hAnsi="Arial" w:cs="Arial"/>
          <w:b/>
          <w:sz w:val="22"/>
          <w:szCs w:val="22"/>
          <w:lang w:val="fr"/>
        </w:rPr>
        <w:t>Prix d’achat éligibles</w:t>
      </w:r>
    </w:p>
    <w:p w:rsidRPr="00B11000" w:rsidR="00274DAF" w:rsidRDefault="00274DAF" w14:paraId="714C1274" w14:textId="77777777">
      <w:pPr>
        <w:spacing w:before="4" w:line="240" w:lineRule="exact"/>
        <w:rPr>
          <w:rFonts w:ascii="Arial" w:hAnsi="Arial" w:cs="Arial"/>
          <w:sz w:val="24"/>
          <w:szCs w:val="24"/>
          <w:lang w:val="fr-FR"/>
        </w:rPr>
      </w:pPr>
    </w:p>
    <w:p w:rsidRPr="00B11000" w:rsidR="003322BF" w:rsidP="60202667" w:rsidRDefault="00632A7D" w14:paraId="152AA2B9" w14:textId="43CE97AC">
      <w:pPr>
        <w:spacing w:before="5" w:line="240" w:lineRule="exact"/>
        <w:ind w:right="77"/>
        <w:jc w:val="both"/>
        <w:rPr>
          <w:rFonts w:ascii="Arial" w:hAnsi="Arial" w:eastAsia="Arial" w:cs="Arial"/>
          <w:sz w:val="22"/>
          <w:szCs w:val="22"/>
          <w:lang w:val="fr-FR"/>
        </w:rPr>
      </w:pPr>
      <w:r w:rsidRPr="00B11000">
        <w:rPr>
          <w:rFonts w:ascii="Arial" w:hAnsi="Arial" w:cs="Arial"/>
          <w:sz w:val="22"/>
          <w:szCs w:val="22"/>
          <w:lang w:val="fr"/>
        </w:rPr>
        <w:t>Les prix d’achat des matériaux et de l’équipement sont remboursables s’ils sont remis à un organisme d’intérêt public ou du secteur public à la fin du projet.</w:t>
      </w:r>
    </w:p>
    <w:p w:rsidRPr="00B11000" w:rsidR="003322BF" w:rsidRDefault="003322BF" w14:paraId="70A385B7" w14:textId="77777777">
      <w:pPr>
        <w:spacing w:before="5" w:line="140" w:lineRule="exact"/>
        <w:rPr>
          <w:rFonts w:ascii="Arial" w:hAnsi="Arial" w:cs="Arial"/>
          <w:sz w:val="15"/>
          <w:szCs w:val="15"/>
          <w:lang w:val="fr-FR"/>
        </w:rPr>
      </w:pPr>
    </w:p>
    <w:p w:rsidRPr="00B11000" w:rsidR="72DA4860" w:rsidP="72DA4860" w:rsidRDefault="72DA4860" w14:paraId="40EB153A" w14:textId="5BA601A4">
      <w:pPr>
        <w:spacing w:before="18" w:line="220" w:lineRule="exact"/>
        <w:rPr>
          <w:rFonts w:ascii="Arial" w:hAnsi="Arial" w:eastAsia="Arial" w:cs="Arial"/>
          <w:b/>
          <w:bCs/>
          <w:sz w:val="22"/>
          <w:szCs w:val="22"/>
          <w:lang w:val="fr-FR"/>
        </w:rPr>
      </w:pPr>
    </w:p>
    <w:p w:rsidRPr="00B11000" w:rsidR="00274DAF" w:rsidP="72DA4860" w:rsidRDefault="00CA5C60" w14:paraId="6E822191" w14:textId="16611036">
      <w:pPr>
        <w:spacing w:before="18" w:line="220" w:lineRule="exact"/>
        <w:rPr>
          <w:rFonts w:ascii="Arial" w:hAnsi="Arial" w:cs="Arial"/>
          <w:sz w:val="22"/>
          <w:szCs w:val="22"/>
          <w:lang w:val="fr-FR"/>
        </w:rPr>
      </w:pPr>
      <w:r w:rsidRPr="00B11000">
        <w:rPr>
          <w:rFonts w:ascii="Arial" w:hAnsi="Arial" w:cs="Arial"/>
          <w:b/>
          <w:bCs/>
          <w:sz w:val="22"/>
          <w:szCs w:val="22"/>
          <w:lang w:val="fr"/>
        </w:rPr>
        <w:t>Autres coûts, y compris les coûts de formation</w:t>
      </w:r>
    </w:p>
    <w:p w:rsidRPr="00B11000" w:rsidR="00274DAF" w:rsidRDefault="00274DAF" w14:paraId="0019C408" w14:textId="77777777">
      <w:pPr>
        <w:spacing w:before="17" w:line="220" w:lineRule="exact"/>
        <w:rPr>
          <w:rFonts w:ascii="Arial" w:hAnsi="Arial" w:cs="Arial"/>
          <w:sz w:val="22"/>
          <w:szCs w:val="22"/>
          <w:lang w:val="fr-FR"/>
        </w:rPr>
      </w:pPr>
    </w:p>
    <w:p w:rsidRPr="00B11000" w:rsidR="00950A37" w:rsidP="59B01B25" w:rsidRDefault="00B11000" w14:paraId="3DAD496E" w14:textId="044D6126">
      <w:pPr>
        <w:tabs>
          <w:tab w:val="left" w:pos="820"/>
        </w:tabs>
        <w:spacing w:before="20" w:line="240" w:lineRule="exact"/>
        <w:ind w:right="82"/>
        <w:jc w:val="both"/>
        <w:rPr>
          <w:rFonts w:ascii="Arial" w:hAnsi="Arial" w:eastAsia="Arial" w:cs="Arial"/>
          <w:sz w:val="22"/>
          <w:szCs w:val="22"/>
          <w:lang w:val="fr-FR"/>
        </w:rPr>
      </w:pPr>
      <w:r>
        <w:rPr>
          <w:rFonts w:ascii="Arial" w:hAnsi="Arial" w:cs="Arial"/>
          <w:sz w:val="22"/>
          <w:szCs w:val="22"/>
          <w:lang w:val="fr"/>
        </w:rPr>
        <w:t>A</w:t>
      </w:r>
      <w:r w:rsidRPr="00B11000" w:rsidR="6A632707">
        <w:rPr>
          <w:rFonts w:ascii="Arial" w:hAnsi="Arial" w:cs="Arial"/>
          <w:sz w:val="22"/>
          <w:szCs w:val="22"/>
          <w:lang w:val="fr"/>
        </w:rPr>
        <w:t>utres coûts remboursables comprennent :</w:t>
      </w:r>
    </w:p>
    <w:p w:rsidRPr="00B11000" w:rsidR="00950A37" w:rsidP="003D0A46" w:rsidRDefault="00B11000" w14:paraId="7520BAAA" w14:textId="2DAD612C">
      <w:pPr>
        <w:pStyle w:val="Paragraphedeliste"/>
        <w:numPr>
          <w:ilvl w:val="0"/>
          <w:numId w:val="9"/>
        </w:numPr>
        <w:tabs>
          <w:tab w:val="left" w:pos="820"/>
        </w:tabs>
        <w:spacing w:before="20" w:line="240" w:lineRule="exact"/>
        <w:ind w:right="82"/>
        <w:jc w:val="both"/>
        <w:rPr>
          <w:rFonts w:ascii="Arial" w:hAnsi="Arial" w:eastAsia="Arial" w:cs="Arial"/>
          <w:sz w:val="22"/>
          <w:szCs w:val="22"/>
          <w:lang w:val="fr-FR"/>
        </w:rPr>
      </w:pPr>
      <w:r w:rsidRPr="00B11000">
        <w:rPr>
          <w:rFonts w:ascii="Arial" w:hAnsi="Arial" w:cs="Arial"/>
          <w:sz w:val="22"/>
          <w:szCs w:val="22"/>
          <w:lang w:val="fr"/>
        </w:rPr>
        <w:t>Tous</w:t>
      </w:r>
      <w:r w:rsidRPr="00B11000" w:rsidR="00950A37">
        <w:rPr>
          <w:rFonts w:ascii="Arial" w:hAnsi="Arial" w:cs="Arial"/>
          <w:sz w:val="22"/>
          <w:szCs w:val="22"/>
          <w:lang w:val="fr"/>
        </w:rPr>
        <w:t xml:space="preserve"> les coûts liés à la formation des petits </w:t>
      </w:r>
      <w:r>
        <w:rPr>
          <w:rFonts w:ascii="Arial" w:hAnsi="Arial" w:cs="Arial"/>
          <w:sz w:val="22"/>
          <w:szCs w:val="22"/>
          <w:lang w:val="fr"/>
        </w:rPr>
        <w:t>producteurs</w:t>
      </w:r>
      <w:r w:rsidRPr="00B11000" w:rsidR="00950A37">
        <w:rPr>
          <w:rFonts w:ascii="Arial" w:hAnsi="Arial" w:cs="Arial"/>
          <w:sz w:val="22"/>
          <w:szCs w:val="22"/>
          <w:lang w:val="fr"/>
        </w:rPr>
        <w:t xml:space="preserve"> agricoles</w:t>
      </w:r>
    </w:p>
    <w:p w:rsidRPr="00B11000" w:rsidR="00274DAF" w:rsidP="60202667" w:rsidRDefault="00950A37" w14:paraId="02E7FC43" w14:textId="36CB5E1B">
      <w:pPr>
        <w:pStyle w:val="Paragraphedeliste"/>
        <w:numPr>
          <w:ilvl w:val="0"/>
          <w:numId w:val="9"/>
        </w:numPr>
        <w:tabs>
          <w:tab w:val="left" w:pos="820"/>
        </w:tabs>
        <w:spacing w:before="20" w:line="240" w:lineRule="exact"/>
        <w:ind w:right="82"/>
        <w:jc w:val="both"/>
        <w:rPr>
          <w:rFonts w:ascii="Arial" w:hAnsi="Arial" w:eastAsia="Arial" w:cs="Arial"/>
          <w:sz w:val="22"/>
          <w:szCs w:val="22"/>
        </w:rPr>
      </w:pPr>
      <w:r w:rsidRPr="00B11000">
        <w:rPr>
          <w:rFonts w:ascii="Arial" w:hAnsi="Arial" w:cs="Arial"/>
          <w:sz w:val="22"/>
          <w:szCs w:val="22"/>
          <w:lang w:val="fr"/>
        </w:rPr>
        <w:t>Dépenses liées aux essais pilotes</w:t>
      </w:r>
    </w:p>
    <w:p w:rsidRPr="00B11000" w:rsidR="00274DAF" w:rsidP="60202667" w:rsidRDefault="54AE763E" w14:paraId="4A68F2A4" w14:textId="0B489B30">
      <w:pPr>
        <w:pStyle w:val="Paragraphedeliste"/>
        <w:numPr>
          <w:ilvl w:val="0"/>
          <w:numId w:val="9"/>
        </w:numPr>
        <w:tabs>
          <w:tab w:val="left" w:pos="820"/>
        </w:tabs>
        <w:spacing w:before="20" w:line="240" w:lineRule="exact"/>
        <w:ind w:right="82"/>
        <w:jc w:val="both"/>
        <w:rPr>
          <w:rFonts w:ascii="Arial" w:hAnsi="Arial" w:cs="Arial"/>
          <w:sz w:val="15"/>
          <w:szCs w:val="15"/>
          <w:lang w:val="fr-FR"/>
        </w:rPr>
      </w:pPr>
      <w:r w:rsidRPr="00B11000">
        <w:rPr>
          <w:rFonts w:ascii="Arial" w:hAnsi="Arial" w:cs="Arial"/>
          <w:sz w:val="22"/>
          <w:szCs w:val="22"/>
          <w:lang w:val="fr"/>
        </w:rPr>
        <w:t>Coûts de l’audit du Fonds de contrepartie avec l</w:t>
      </w:r>
      <w:r w:rsidR="00B11000">
        <w:rPr>
          <w:rFonts w:ascii="Arial" w:hAnsi="Arial" w:cs="Arial"/>
          <w:sz w:val="22"/>
          <w:szCs w:val="22"/>
          <w:lang w:val="fr"/>
        </w:rPr>
        <w:t>e</w:t>
      </w:r>
      <w:r w:rsidRPr="00B11000">
        <w:rPr>
          <w:rFonts w:ascii="Arial" w:hAnsi="Arial" w:cs="Arial"/>
          <w:sz w:val="22"/>
          <w:szCs w:val="22"/>
          <w:lang w:val="fr"/>
        </w:rPr>
        <w:t xml:space="preserve"> secteur privé </w:t>
      </w:r>
      <w:r w:rsidR="00B11000">
        <w:rPr>
          <w:rFonts w:ascii="Arial" w:hAnsi="Arial" w:cs="Arial"/>
          <w:sz w:val="22"/>
          <w:szCs w:val="22"/>
          <w:lang w:val="fr"/>
        </w:rPr>
        <w:t>mesur</w:t>
      </w:r>
      <w:r w:rsidRPr="00B11000" w:rsidR="00B11000">
        <w:rPr>
          <w:rFonts w:ascii="Arial" w:hAnsi="Arial" w:cs="Arial"/>
          <w:sz w:val="22"/>
          <w:szCs w:val="22"/>
          <w:lang w:val="fr"/>
        </w:rPr>
        <w:t>é</w:t>
      </w:r>
      <w:r w:rsidR="00B11000">
        <w:rPr>
          <w:rFonts w:ascii="Arial" w:hAnsi="Arial" w:cs="Arial"/>
          <w:sz w:val="22"/>
          <w:szCs w:val="22"/>
          <w:lang w:val="fr"/>
        </w:rPr>
        <w:t xml:space="preserve">s </w:t>
      </w:r>
      <w:r w:rsidRPr="00B11000">
        <w:rPr>
          <w:rFonts w:ascii="Arial" w:hAnsi="Arial" w:cs="Arial"/>
          <w:sz w:val="22"/>
          <w:szCs w:val="22"/>
          <w:lang w:val="fr"/>
        </w:rPr>
        <w:t xml:space="preserve">par un auditeur </w:t>
      </w:r>
      <w:r w:rsidRPr="00B11000" w:rsidR="00B11000">
        <w:rPr>
          <w:rFonts w:ascii="Arial" w:hAnsi="Arial" w:cs="Arial"/>
          <w:sz w:val="22"/>
          <w:szCs w:val="22"/>
          <w:lang w:val="fr"/>
        </w:rPr>
        <w:t>public :</w:t>
      </w:r>
      <w:r w:rsidRPr="00B11000">
        <w:rPr>
          <w:rFonts w:ascii="Arial" w:hAnsi="Arial" w:cs="Arial"/>
          <w:sz w:val="22"/>
          <w:szCs w:val="22"/>
          <w:lang w:val="fr"/>
        </w:rPr>
        <w:t xml:space="preserve"> la limite supérieure est ici de 3.500 euros par audit.</w:t>
      </w:r>
    </w:p>
    <w:p w:rsidRPr="00B11000" w:rsidR="00274DAF" w:rsidP="60202667" w:rsidRDefault="00632A7D" w14:paraId="08573521" w14:textId="32D903B7">
      <w:pPr>
        <w:pStyle w:val="Paragraphedeliste"/>
        <w:numPr>
          <w:ilvl w:val="0"/>
          <w:numId w:val="9"/>
        </w:numPr>
        <w:tabs>
          <w:tab w:val="left" w:pos="820"/>
        </w:tabs>
        <w:spacing w:before="20" w:line="240" w:lineRule="exact"/>
        <w:ind w:right="82"/>
        <w:jc w:val="both"/>
        <w:rPr>
          <w:rFonts w:ascii="Arial" w:hAnsi="Arial" w:eastAsia="Arial" w:cs="Arial"/>
          <w:sz w:val="22"/>
          <w:szCs w:val="22"/>
          <w:lang w:val="fr-FR"/>
        </w:rPr>
      </w:pPr>
      <w:r w:rsidRPr="00B11000">
        <w:rPr>
          <w:rFonts w:ascii="Arial" w:hAnsi="Arial" w:cs="Arial"/>
          <w:position w:val="-1"/>
          <w:sz w:val="22"/>
          <w:szCs w:val="22"/>
          <w:lang w:val="fr"/>
        </w:rPr>
        <w:t>Coûts d’exploitation liés au projet :</w:t>
      </w:r>
    </w:p>
    <w:p w:rsidRPr="00B11000" w:rsidR="00274DAF" w:rsidP="003D0A46" w:rsidRDefault="54B17037" w14:paraId="06F5C80C" w14:textId="7AF83558">
      <w:pPr>
        <w:spacing w:before="9" w:line="228" w:lineRule="auto"/>
        <w:ind w:left="788" w:right="116"/>
        <w:rPr>
          <w:rFonts w:ascii="Arial" w:hAnsi="Arial" w:eastAsia="Arial" w:cs="Arial"/>
          <w:sz w:val="22"/>
          <w:szCs w:val="22"/>
          <w:lang w:val="fr-FR"/>
        </w:rPr>
      </w:pPr>
      <w:r w:rsidRPr="00B11000">
        <w:rPr>
          <w:rFonts w:ascii="Arial" w:hAnsi="Arial" w:cs="Arial"/>
          <w:sz w:val="22"/>
          <w:szCs w:val="22"/>
          <w:lang w:val="fr"/>
        </w:rPr>
        <w:t>-</w:t>
      </w:r>
      <w:r w:rsidR="00B11000">
        <w:rPr>
          <w:rFonts w:ascii="Arial" w:hAnsi="Arial" w:cs="Arial"/>
          <w:sz w:val="22"/>
          <w:szCs w:val="22"/>
          <w:lang w:val="fr"/>
        </w:rPr>
        <w:t xml:space="preserve"> </w:t>
      </w:r>
      <w:r w:rsidRPr="00B11000">
        <w:rPr>
          <w:rFonts w:ascii="Arial" w:hAnsi="Arial" w:cs="Arial"/>
          <w:sz w:val="22"/>
          <w:szCs w:val="22"/>
          <w:lang w:val="fr"/>
        </w:rPr>
        <w:t xml:space="preserve">Seuls les coûts d’exploitation calculés au </w:t>
      </w:r>
      <w:r w:rsidRPr="008E1703">
        <w:rPr>
          <w:rFonts w:ascii="Arial" w:hAnsi="Arial" w:cs="Arial"/>
          <w:sz w:val="22"/>
          <w:szCs w:val="22"/>
          <w:lang w:val="fr"/>
        </w:rPr>
        <w:t>prorata</w:t>
      </w:r>
      <w:r w:rsidRPr="00B11000">
        <w:rPr>
          <w:rFonts w:ascii="Arial" w:hAnsi="Arial" w:cs="Arial"/>
          <w:sz w:val="22"/>
          <w:szCs w:val="22"/>
          <w:lang w:val="fr"/>
        </w:rPr>
        <w:t xml:space="preserve"> du projet sont comptabilisés (loyer des bureaux au </w:t>
      </w:r>
      <w:r w:rsidRPr="008E1703">
        <w:rPr>
          <w:rFonts w:ascii="Arial" w:hAnsi="Arial" w:cs="Arial"/>
          <w:sz w:val="22"/>
          <w:szCs w:val="22"/>
          <w:lang w:val="fr"/>
        </w:rPr>
        <w:t>prorata</w:t>
      </w:r>
      <w:r w:rsidRPr="00B11000">
        <w:rPr>
          <w:rFonts w:ascii="Arial" w:hAnsi="Arial" w:cs="Arial"/>
          <w:sz w:val="22"/>
          <w:szCs w:val="22"/>
          <w:lang w:val="fr"/>
        </w:rPr>
        <w:t>, communications et similaires) et doivent être indiqués avec la base de calcul pour déterminer le montant du loyer ou de l’amortissement</w:t>
      </w:r>
    </w:p>
    <w:p w:rsidRPr="00B11000" w:rsidR="00274DAF" w:rsidP="60202667" w:rsidRDefault="4ADD2C37" w14:paraId="1E08237E" w14:textId="3EA000EE">
      <w:pPr>
        <w:spacing w:before="1"/>
        <w:ind w:left="788"/>
        <w:rPr>
          <w:rFonts w:ascii="Arial" w:hAnsi="Arial" w:eastAsia="Arial" w:cs="Arial"/>
          <w:sz w:val="22"/>
          <w:szCs w:val="22"/>
          <w:lang w:val="fr-FR"/>
        </w:rPr>
      </w:pPr>
      <w:r w:rsidRPr="00B11000">
        <w:rPr>
          <w:rFonts w:ascii="Arial" w:hAnsi="Arial" w:cs="Arial"/>
          <w:sz w:val="22"/>
          <w:szCs w:val="22"/>
          <w:lang w:val="fr"/>
        </w:rPr>
        <w:t>-</w:t>
      </w:r>
      <w:r w:rsidR="00B11000">
        <w:rPr>
          <w:rFonts w:ascii="Arial" w:hAnsi="Arial" w:cs="Arial"/>
          <w:sz w:val="22"/>
          <w:szCs w:val="22"/>
          <w:lang w:val="fr"/>
        </w:rPr>
        <w:t xml:space="preserve">  C</w:t>
      </w:r>
      <w:r w:rsidRPr="00B11000">
        <w:rPr>
          <w:rFonts w:ascii="Arial" w:hAnsi="Arial" w:cs="Arial"/>
          <w:sz w:val="22"/>
          <w:szCs w:val="22"/>
          <w:lang w:val="fr"/>
        </w:rPr>
        <w:t>oûts des ateliers internes, des séminaires, des activités de formation, par exemple, le loyer, le matériel, etc.</w:t>
      </w:r>
    </w:p>
    <w:p w:rsidRPr="00B11000" w:rsidR="60202667" w:rsidP="60202667" w:rsidRDefault="60202667" w14:paraId="6F31DDE7" w14:textId="589F4BCF">
      <w:pPr>
        <w:spacing w:line="240" w:lineRule="exact"/>
        <w:rPr>
          <w:rFonts w:ascii="Arial" w:hAnsi="Arial" w:eastAsia="Arial" w:cs="Arial"/>
          <w:sz w:val="22"/>
          <w:szCs w:val="22"/>
          <w:lang w:val="fr-FR"/>
        </w:rPr>
      </w:pPr>
    </w:p>
    <w:p w:rsidRPr="00757AF6" w:rsidR="00274DAF" w:rsidRDefault="00274DAF" w14:paraId="2B399941" w14:textId="77777777">
      <w:pPr>
        <w:spacing w:line="200" w:lineRule="exact"/>
        <w:rPr>
          <w:lang w:val="fr-FR"/>
        </w:rPr>
      </w:pPr>
    </w:p>
    <w:p w:rsidRPr="00B11000" w:rsidR="00274DAF" w:rsidP="003D0A46" w:rsidRDefault="00632A7D" w14:paraId="72DD4638" w14:textId="33F058B3">
      <w:pPr>
        <w:spacing w:before="32"/>
        <w:ind w:right="78"/>
        <w:jc w:val="both"/>
        <w:rPr>
          <w:rFonts w:ascii="Arial" w:hAnsi="Arial" w:eastAsia="Arial" w:cs="Arial"/>
          <w:sz w:val="22"/>
          <w:szCs w:val="22"/>
          <w:lang w:val="fr-FR"/>
        </w:rPr>
      </w:pPr>
      <w:r w:rsidRPr="00B11000">
        <w:rPr>
          <w:rFonts w:ascii="Arial" w:hAnsi="Arial" w:cs="Arial"/>
          <w:sz w:val="22"/>
          <w:szCs w:val="22"/>
          <w:lang w:val="fr"/>
        </w:rPr>
        <w:t xml:space="preserve">Les catégories de dépenses qui </w:t>
      </w:r>
      <w:r w:rsidRPr="00CB7709">
        <w:rPr>
          <w:rFonts w:ascii="Arial" w:hAnsi="Arial" w:cs="Arial"/>
          <w:sz w:val="22"/>
          <w:szCs w:val="22"/>
          <w:lang w:val="fr"/>
        </w:rPr>
        <w:t xml:space="preserve">surviennent </w:t>
      </w:r>
      <w:r w:rsidRPr="00CB7709" w:rsidR="00321710">
        <w:rPr>
          <w:rFonts w:ascii="Arial" w:hAnsi="Arial" w:cs="Arial"/>
          <w:sz w:val="22"/>
          <w:szCs w:val="22"/>
          <w:lang w:val="fr"/>
        </w:rPr>
        <w:t>au cours</w:t>
      </w:r>
      <w:r w:rsidRPr="00CB7709">
        <w:rPr>
          <w:rFonts w:ascii="Arial" w:hAnsi="Arial" w:cs="Arial"/>
          <w:sz w:val="22"/>
          <w:szCs w:val="22"/>
          <w:lang w:val="fr"/>
        </w:rPr>
        <w:t xml:space="preserve"> du </w:t>
      </w:r>
      <w:r w:rsidRPr="00CB7709" w:rsidR="00CB7709">
        <w:rPr>
          <w:rFonts w:ascii="Arial" w:hAnsi="Arial" w:cs="Arial"/>
          <w:sz w:val="22"/>
          <w:szCs w:val="22"/>
          <w:lang w:val="fr"/>
        </w:rPr>
        <w:t>projet mais</w:t>
      </w:r>
      <w:r w:rsidRPr="00CB7709">
        <w:rPr>
          <w:rFonts w:ascii="Arial" w:hAnsi="Arial" w:cs="Arial"/>
          <w:sz w:val="22"/>
          <w:szCs w:val="22"/>
          <w:lang w:val="fr"/>
        </w:rPr>
        <w:t xml:space="preserve"> qui ne sont pas prévues dans le budget initial du projet </w:t>
      </w:r>
      <w:r w:rsidRPr="00CB7709" w:rsidR="008E1703">
        <w:rPr>
          <w:rFonts w:ascii="Arial" w:hAnsi="Arial" w:cs="Arial"/>
          <w:sz w:val="22"/>
          <w:szCs w:val="22"/>
          <w:lang w:val="fr"/>
        </w:rPr>
        <w:t>ne sont autorisées</w:t>
      </w:r>
      <w:r w:rsidRPr="00CB7709">
        <w:rPr>
          <w:rFonts w:ascii="Arial" w:hAnsi="Arial" w:cs="Arial"/>
          <w:sz w:val="22"/>
          <w:szCs w:val="22"/>
          <w:lang w:val="fr"/>
        </w:rPr>
        <w:t xml:space="preserve"> qu’avec</w:t>
      </w:r>
      <w:r w:rsidRPr="00B11000">
        <w:rPr>
          <w:rFonts w:ascii="Arial" w:hAnsi="Arial" w:cs="Arial"/>
          <w:sz w:val="22"/>
          <w:szCs w:val="22"/>
          <w:lang w:val="fr"/>
        </w:rPr>
        <w:t xml:space="preserve"> l’approbation écrite de la GIZ et sont incluses en complément du contrat.</w:t>
      </w:r>
    </w:p>
    <w:p w:rsidRPr="00B11000" w:rsidR="00274DAF" w:rsidRDefault="00274DAF" w14:paraId="2DDBBFD1" w14:textId="77777777">
      <w:pPr>
        <w:spacing w:before="19" w:line="220" w:lineRule="exact"/>
        <w:rPr>
          <w:rFonts w:ascii="Arial" w:hAnsi="Arial" w:cs="Arial"/>
          <w:sz w:val="22"/>
          <w:szCs w:val="22"/>
          <w:lang w:val="fr-FR"/>
        </w:rPr>
      </w:pPr>
    </w:p>
    <w:p w:rsidRPr="00B11000" w:rsidR="00274DAF" w:rsidP="00321710" w:rsidRDefault="00632A7D" w14:paraId="61C26077" w14:textId="643AA444">
      <w:pPr>
        <w:ind w:right="76"/>
        <w:jc w:val="both"/>
        <w:rPr>
          <w:rFonts w:ascii="Arial" w:hAnsi="Arial" w:eastAsia="Arial" w:cs="Arial"/>
          <w:sz w:val="22"/>
          <w:szCs w:val="22"/>
          <w:lang w:val="fr-FR"/>
        </w:rPr>
      </w:pPr>
      <w:r w:rsidRPr="00B11000">
        <w:rPr>
          <w:rFonts w:ascii="Arial" w:hAnsi="Arial" w:cs="Arial"/>
          <w:sz w:val="22"/>
          <w:szCs w:val="22"/>
          <w:lang w:val="fr"/>
        </w:rPr>
        <w:t>Une compensation allant jusqu’à 2 500 EUR ou jusqu’à 10 % de la ligne budgétaire respective est autorisée dans le budget du projet convenu contractuellement. Pour les montants supérieurs, l’accord de la GIZ est nécessaire à l’avance.</w:t>
      </w:r>
    </w:p>
    <w:p w:rsidRPr="00B11000" w:rsidR="60202667" w:rsidP="60202667" w:rsidRDefault="60202667" w14:paraId="5F52BE4C" w14:textId="314EF0BF">
      <w:pPr>
        <w:ind w:right="76"/>
        <w:jc w:val="both"/>
        <w:rPr>
          <w:rFonts w:ascii="Arial" w:hAnsi="Arial" w:eastAsia="Arial" w:cs="Arial"/>
          <w:sz w:val="22"/>
          <w:szCs w:val="22"/>
          <w:lang w:val="fr-FR"/>
        </w:rPr>
      </w:pPr>
    </w:p>
    <w:p w:rsidRPr="00B11000" w:rsidR="5532A860" w:rsidP="60202667" w:rsidRDefault="5532A860" w14:paraId="7A9EB3EE" w14:textId="45D72D18">
      <w:pPr>
        <w:spacing w:line="260" w:lineRule="exact"/>
        <w:rPr>
          <w:rFonts w:ascii="Arial" w:hAnsi="Arial" w:eastAsia="Verdana" w:cs="Arial"/>
          <w:b/>
          <w:bCs/>
          <w:sz w:val="22"/>
          <w:szCs w:val="22"/>
          <w:lang w:val="fr-FR"/>
        </w:rPr>
      </w:pPr>
      <w:r w:rsidRPr="00B11000">
        <w:rPr>
          <w:rFonts w:ascii="Arial" w:hAnsi="Arial" w:cs="Arial"/>
          <w:b/>
          <w:bCs/>
          <w:sz w:val="22"/>
          <w:szCs w:val="22"/>
          <w:lang w:val="fr"/>
        </w:rPr>
        <w:t>Les autres coûts non remboursables sont les suivants :</w:t>
      </w:r>
    </w:p>
    <w:p w:rsidRPr="00B11000" w:rsidR="4275FB4F" w:rsidP="60202667" w:rsidRDefault="4275FB4F" w14:paraId="41C5AA7E" w14:textId="669716B6">
      <w:pPr>
        <w:pStyle w:val="Paragraphedeliste"/>
        <w:numPr>
          <w:ilvl w:val="0"/>
          <w:numId w:val="10"/>
        </w:numPr>
        <w:spacing w:line="260" w:lineRule="exact"/>
        <w:rPr>
          <w:rFonts w:ascii="Arial" w:hAnsi="Arial" w:eastAsia="Verdana" w:cs="Arial"/>
          <w:sz w:val="22"/>
          <w:szCs w:val="22"/>
          <w:lang w:val="fr-FR"/>
        </w:rPr>
      </w:pPr>
      <w:proofErr w:type="gramStart"/>
      <w:r w:rsidRPr="00B11000">
        <w:rPr>
          <w:rFonts w:ascii="Arial" w:hAnsi="Arial" w:cs="Arial"/>
          <w:sz w:val="22"/>
          <w:szCs w:val="22"/>
          <w:lang w:val="fr"/>
        </w:rPr>
        <w:t>les</w:t>
      </w:r>
      <w:proofErr w:type="gramEnd"/>
      <w:r w:rsidRPr="00B11000">
        <w:rPr>
          <w:rFonts w:ascii="Arial" w:hAnsi="Arial" w:cs="Arial"/>
          <w:sz w:val="22"/>
          <w:szCs w:val="22"/>
          <w:lang w:val="fr"/>
        </w:rPr>
        <w:t xml:space="preserve"> coûts de vente et de distribution, y compris les coûts de publicité;</w:t>
      </w:r>
    </w:p>
    <w:p w:rsidRPr="00B11000" w:rsidR="4275FB4F" w:rsidP="60202667" w:rsidRDefault="4275FB4F" w14:paraId="69B178B4" w14:textId="3E40A44A">
      <w:pPr>
        <w:pStyle w:val="Paragraphedeliste"/>
        <w:numPr>
          <w:ilvl w:val="0"/>
          <w:numId w:val="10"/>
        </w:numPr>
        <w:spacing w:line="260" w:lineRule="exact"/>
        <w:rPr>
          <w:rFonts w:ascii="Arial" w:hAnsi="Arial" w:eastAsia="Arial" w:cs="Arial"/>
          <w:sz w:val="22"/>
          <w:szCs w:val="22"/>
        </w:rPr>
      </w:pPr>
      <w:r w:rsidRPr="00B11000">
        <w:rPr>
          <w:rFonts w:ascii="Arial" w:hAnsi="Arial" w:cs="Arial"/>
          <w:sz w:val="22"/>
          <w:szCs w:val="22"/>
          <w:lang w:val="fr"/>
        </w:rPr>
        <w:t>Taxe commerciale municipale</w:t>
      </w:r>
    </w:p>
    <w:p w:rsidRPr="00B11000" w:rsidR="4275FB4F" w:rsidP="60202667" w:rsidRDefault="4275FB4F" w14:paraId="5571544D" w14:textId="0EBB6AF2">
      <w:pPr>
        <w:pStyle w:val="Paragraphedeliste"/>
        <w:numPr>
          <w:ilvl w:val="0"/>
          <w:numId w:val="10"/>
        </w:numPr>
        <w:spacing w:before="1"/>
        <w:rPr>
          <w:rFonts w:ascii="Arial" w:hAnsi="Arial" w:eastAsia="Arial" w:cs="Arial"/>
          <w:sz w:val="22"/>
          <w:szCs w:val="22"/>
          <w:lang w:val="fr-FR"/>
        </w:rPr>
      </w:pPr>
      <w:r w:rsidRPr="00B11000">
        <w:rPr>
          <w:rFonts w:ascii="Arial" w:hAnsi="Arial" w:cs="Arial"/>
          <w:sz w:val="22"/>
          <w:szCs w:val="22"/>
          <w:lang w:val="fr"/>
        </w:rPr>
        <w:t>les coûts de la recherche et du développement indépendants (non liés au projet)</w:t>
      </w:r>
    </w:p>
    <w:p w:rsidRPr="00B11000" w:rsidR="4275FB4F" w:rsidP="60202667" w:rsidRDefault="4275FB4F" w14:paraId="05D3A832" w14:textId="43B877D7">
      <w:pPr>
        <w:pStyle w:val="Paragraphedeliste"/>
        <w:numPr>
          <w:ilvl w:val="0"/>
          <w:numId w:val="10"/>
        </w:numPr>
        <w:spacing w:before="1"/>
        <w:rPr>
          <w:rFonts w:ascii="Arial" w:hAnsi="Arial" w:eastAsia="Arial" w:cs="Arial"/>
          <w:sz w:val="22"/>
          <w:szCs w:val="22"/>
        </w:rPr>
      </w:pPr>
      <w:r w:rsidRPr="00B11000">
        <w:rPr>
          <w:rFonts w:ascii="Arial" w:hAnsi="Arial" w:cs="Arial"/>
          <w:sz w:val="22"/>
          <w:szCs w:val="22"/>
          <w:lang w:val="fr"/>
        </w:rPr>
        <w:t>Coûts des risques spécifiques</w:t>
      </w:r>
    </w:p>
    <w:p w:rsidRPr="00B11000" w:rsidR="4275FB4F" w:rsidP="60202667" w:rsidRDefault="4275FB4F" w14:paraId="39D4C18C" w14:textId="16DA44DB">
      <w:pPr>
        <w:pStyle w:val="Paragraphedeliste"/>
        <w:numPr>
          <w:ilvl w:val="0"/>
          <w:numId w:val="10"/>
        </w:numPr>
        <w:spacing w:line="260" w:lineRule="exact"/>
        <w:rPr>
          <w:rFonts w:ascii="Arial" w:hAnsi="Arial" w:eastAsia="Arial" w:cs="Arial"/>
          <w:sz w:val="22"/>
          <w:szCs w:val="22"/>
        </w:rPr>
      </w:pPr>
      <w:r w:rsidRPr="00B11000">
        <w:rPr>
          <w:rFonts w:ascii="Arial" w:hAnsi="Arial" w:cs="Arial"/>
          <w:sz w:val="22"/>
          <w:szCs w:val="22"/>
          <w:lang w:val="fr"/>
        </w:rPr>
        <w:t>Bénéfice imputé</w:t>
      </w:r>
    </w:p>
    <w:p w:rsidRPr="00B11000" w:rsidR="4275FB4F" w:rsidP="60202667" w:rsidRDefault="4275FB4F" w14:paraId="4A33339A" w14:textId="4E903F8D">
      <w:pPr>
        <w:pStyle w:val="Paragraphedeliste"/>
        <w:numPr>
          <w:ilvl w:val="0"/>
          <w:numId w:val="10"/>
        </w:numPr>
        <w:spacing w:before="1"/>
        <w:rPr>
          <w:rFonts w:ascii="Arial" w:hAnsi="Arial" w:eastAsia="Arial" w:cs="Arial"/>
          <w:sz w:val="22"/>
          <w:szCs w:val="22"/>
          <w:lang w:val="fr-FR"/>
        </w:rPr>
      </w:pPr>
      <w:r w:rsidRPr="00B11000">
        <w:rPr>
          <w:rFonts w:ascii="Arial" w:hAnsi="Arial" w:cs="Arial"/>
          <w:sz w:val="22"/>
          <w:szCs w:val="22"/>
          <w:lang w:val="fr"/>
        </w:rPr>
        <w:t>la portion des intérêts des allocations aux réserves de retraite.</w:t>
      </w:r>
    </w:p>
    <w:p w:rsidRPr="00B11000" w:rsidR="4275FB4F" w:rsidP="60202667" w:rsidRDefault="4275FB4F" w14:paraId="45419296" w14:textId="0F2D5618">
      <w:pPr>
        <w:pStyle w:val="Paragraphedeliste"/>
        <w:numPr>
          <w:ilvl w:val="0"/>
          <w:numId w:val="10"/>
        </w:numPr>
        <w:spacing w:before="1"/>
        <w:rPr>
          <w:rFonts w:ascii="Arial" w:hAnsi="Arial" w:eastAsia="Arial" w:cs="Arial"/>
          <w:sz w:val="22"/>
          <w:szCs w:val="22"/>
        </w:rPr>
      </w:pPr>
      <w:r w:rsidRPr="00B11000">
        <w:rPr>
          <w:rFonts w:ascii="Arial" w:hAnsi="Arial" w:cs="Arial"/>
          <w:sz w:val="22"/>
          <w:szCs w:val="22"/>
          <w:lang w:val="fr"/>
        </w:rPr>
        <w:t>Achat de terrain</w:t>
      </w:r>
    </w:p>
    <w:p w:rsidRPr="00B11000" w:rsidR="4275FB4F" w:rsidP="60202667" w:rsidRDefault="55F5FCA0" w14:paraId="5F8E48C4" w14:textId="21C0CCC5">
      <w:pPr>
        <w:pStyle w:val="Paragraphedeliste"/>
        <w:numPr>
          <w:ilvl w:val="0"/>
          <w:numId w:val="10"/>
        </w:numPr>
        <w:spacing w:before="1"/>
        <w:rPr>
          <w:rFonts w:ascii="Arial" w:hAnsi="Arial" w:eastAsia="Arial" w:cs="Arial"/>
          <w:sz w:val="22"/>
          <w:szCs w:val="22"/>
        </w:rPr>
      </w:pPr>
      <w:r w:rsidRPr="00B11000">
        <w:rPr>
          <w:rFonts w:ascii="Arial" w:hAnsi="Arial" w:cs="Arial"/>
          <w:sz w:val="22"/>
          <w:szCs w:val="22"/>
          <w:lang w:val="fr"/>
        </w:rPr>
        <w:t>Dettes et provisions pour pertes</w:t>
      </w:r>
    </w:p>
    <w:p w:rsidRPr="00B11000" w:rsidR="3D9F7E23" w:rsidP="2313040F" w:rsidRDefault="3D9F7E23" w14:paraId="31954A1E" w14:textId="46CD27C9">
      <w:pPr>
        <w:pStyle w:val="Paragraphedeliste"/>
        <w:numPr>
          <w:ilvl w:val="0"/>
          <w:numId w:val="10"/>
        </w:numPr>
        <w:spacing w:before="1"/>
        <w:rPr>
          <w:rFonts w:ascii="Arial" w:hAnsi="Arial" w:eastAsia="Arial" w:cs="Arial"/>
          <w:sz w:val="22"/>
          <w:szCs w:val="22"/>
          <w:lang w:val="fr-FR"/>
        </w:rPr>
      </w:pPr>
      <w:r w:rsidRPr="00B11000">
        <w:rPr>
          <w:rFonts w:ascii="Arial" w:hAnsi="Arial" w:cs="Arial"/>
          <w:sz w:val="22"/>
          <w:szCs w:val="22"/>
          <w:lang w:val="fr"/>
        </w:rPr>
        <w:t>Frais de transfert pour les transferts à l’étranger</w:t>
      </w:r>
    </w:p>
    <w:p w:rsidRPr="00B11000" w:rsidR="3D9F7E23" w:rsidP="2313040F" w:rsidRDefault="3D9F7E23" w14:paraId="5CADDCCB" w14:textId="49E1C9D2">
      <w:pPr>
        <w:pStyle w:val="Paragraphedeliste"/>
        <w:numPr>
          <w:ilvl w:val="0"/>
          <w:numId w:val="10"/>
        </w:numPr>
        <w:rPr>
          <w:rFonts w:ascii="Arial" w:hAnsi="Arial" w:eastAsia="Arial" w:cs="Arial"/>
          <w:sz w:val="22"/>
          <w:szCs w:val="22"/>
        </w:rPr>
      </w:pPr>
      <w:r w:rsidRPr="00B11000">
        <w:rPr>
          <w:rFonts w:ascii="Arial" w:hAnsi="Arial" w:cs="Arial"/>
          <w:sz w:val="22"/>
          <w:szCs w:val="22"/>
          <w:lang w:val="fr"/>
        </w:rPr>
        <w:t>Divertissement interne</w:t>
      </w:r>
    </w:p>
    <w:p w:rsidRPr="00227E35" w:rsidR="4275FB4F" w:rsidP="60202667" w:rsidRDefault="00CB7709" w14:paraId="629D919C" w14:textId="023018D1">
      <w:pPr>
        <w:pStyle w:val="Paragraphedeliste"/>
        <w:numPr>
          <w:ilvl w:val="0"/>
          <w:numId w:val="10"/>
        </w:numPr>
        <w:spacing w:before="1" w:line="240" w:lineRule="exact"/>
        <w:rPr>
          <w:rFonts w:ascii="Arial" w:hAnsi="Arial" w:eastAsia="Arial" w:cs="Arial"/>
          <w:sz w:val="22"/>
          <w:szCs w:val="22"/>
          <w:lang w:val="fr-FR"/>
        </w:rPr>
      </w:pPr>
      <w:r w:rsidRPr="00227E35">
        <w:rPr>
          <w:rFonts w:ascii="Arial" w:hAnsi="Arial" w:cs="Arial"/>
          <w:sz w:val="22"/>
          <w:szCs w:val="22"/>
          <w:lang w:val="fr"/>
        </w:rPr>
        <w:t>Tout</w:t>
      </w:r>
      <w:r w:rsidRPr="00227E35" w:rsidR="55F5FCA0">
        <w:rPr>
          <w:rFonts w:ascii="Arial" w:hAnsi="Arial" w:cs="Arial"/>
          <w:sz w:val="22"/>
          <w:szCs w:val="22"/>
          <w:lang w:val="fr"/>
        </w:rPr>
        <w:t xml:space="preserve"> article ou activité précédemment financé par le fonds de contrepartie </w:t>
      </w:r>
      <w:r w:rsidR="00227E35">
        <w:rPr>
          <w:rFonts w:ascii="Arial" w:hAnsi="Arial" w:cs="Arial"/>
          <w:sz w:val="22"/>
          <w:szCs w:val="22"/>
          <w:lang w:val="fr"/>
        </w:rPr>
        <w:t>(</w:t>
      </w:r>
      <w:r w:rsidR="00227E35">
        <w:rPr>
          <w:rFonts w:ascii="Arial" w:hAnsi="Arial" w:cs="Arial"/>
          <w:b/>
          <w:bCs/>
          <w:sz w:val="22"/>
          <w:szCs w:val="22"/>
          <w:lang w:val="fr"/>
        </w:rPr>
        <w:t>insérer les chaines de value)</w:t>
      </w:r>
      <w:r w:rsidRPr="00227E35" w:rsidR="55F5FCA0">
        <w:rPr>
          <w:rFonts w:ascii="Arial" w:hAnsi="Arial" w:cs="Arial"/>
          <w:lang w:val="fr"/>
        </w:rPr>
        <w:t xml:space="preserve"> </w:t>
      </w:r>
      <w:r w:rsidRPr="00227E35" w:rsidR="008E1703">
        <w:rPr>
          <w:rFonts w:ascii="Arial" w:hAnsi="Arial" w:cs="Arial"/>
          <w:lang w:val="fr"/>
        </w:rPr>
        <w:t xml:space="preserve">ou </w:t>
      </w:r>
      <w:r w:rsidRPr="00227E35" w:rsidR="008E1703">
        <w:rPr>
          <w:rFonts w:ascii="Arial" w:hAnsi="Arial" w:cs="Arial"/>
          <w:sz w:val="22"/>
          <w:szCs w:val="22"/>
          <w:lang w:val="fr"/>
        </w:rPr>
        <w:t>un</w:t>
      </w:r>
      <w:r w:rsidRPr="00227E35" w:rsidR="55F5FCA0">
        <w:rPr>
          <w:rFonts w:ascii="Arial" w:hAnsi="Arial" w:cs="Arial"/>
          <w:sz w:val="22"/>
          <w:szCs w:val="22"/>
          <w:lang w:val="fr"/>
        </w:rPr>
        <w:t xml:space="preserve"> autre organisme de financement ou donateur.</w:t>
      </w:r>
    </w:p>
    <w:p w:rsidRPr="00757AF6" w:rsidR="59B01B25" w:rsidP="59B01B25" w:rsidRDefault="59B01B25" w14:paraId="4A836160" w14:textId="72D6E89B">
      <w:pPr>
        <w:spacing w:before="1" w:line="240" w:lineRule="exact"/>
        <w:rPr>
          <w:rFonts w:ascii="Arial" w:hAnsi="Arial" w:eastAsia="Arial" w:cs="Arial"/>
          <w:sz w:val="22"/>
          <w:szCs w:val="22"/>
          <w:lang w:val="fr-FR"/>
        </w:rPr>
      </w:pPr>
    </w:p>
    <w:p w:rsidRPr="00227E35" w:rsidR="29080C39" w:rsidP="59B01B25" w:rsidRDefault="29080C39" w14:paraId="64E299FF" w14:textId="28E8AE33">
      <w:pPr>
        <w:spacing w:before="20"/>
        <w:rPr>
          <w:rFonts w:ascii="Arial" w:hAnsi="Arial" w:eastAsia="Arial" w:cs="Arial"/>
          <w:sz w:val="22"/>
          <w:szCs w:val="22"/>
          <w:lang w:val="fr-FR"/>
        </w:rPr>
      </w:pPr>
      <w:r w:rsidRPr="00227E35">
        <w:rPr>
          <w:rFonts w:ascii="Arial" w:hAnsi="Arial" w:cs="Arial"/>
          <w:b/>
          <w:bCs/>
          <w:sz w:val="22"/>
          <w:szCs w:val="22"/>
          <w:lang w:val="fr"/>
        </w:rPr>
        <w:t xml:space="preserve">Achat de pesticides </w:t>
      </w:r>
    </w:p>
    <w:p w:rsidRPr="00227E35" w:rsidR="59B01B25" w:rsidP="59B01B25" w:rsidRDefault="59B01B25" w14:paraId="220C08D8" w14:textId="77777777">
      <w:pPr>
        <w:spacing w:before="4" w:line="240" w:lineRule="exact"/>
        <w:rPr>
          <w:rFonts w:ascii="Arial" w:hAnsi="Arial" w:cs="Arial"/>
          <w:sz w:val="24"/>
          <w:szCs w:val="24"/>
          <w:lang w:val="fr-FR"/>
        </w:rPr>
      </w:pPr>
    </w:p>
    <w:p w:rsidRPr="00227E35" w:rsidR="29080C39" w:rsidP="59B01B25" w:rsidRDefault="29080C39" w14:paraId="6323B07A" w14:textId="37147A6B">
      <w:pPr>
        <w:spacing w:line="240" w:lineRule="exact"/>
        <w:ind w:right="74"/>
        <w:jc w:val="both"/>
        <w:rPr>
          <w:rFonts w:ascii="Arial" w:hAnsi="Arial" w:eastAsia="Arial" w:cs="Arial"/>
          <w:sz w:val="22"/>
          <w:szCs w:val="22"/>
          <w:lang w:val="fr-FR"/>
        </w:rPr>
      </w:pPr>
      <w:r w:rsidRPr="00227E35">
        <w:rPr>
          <w:rFonts w:ascii="Arial" w:hAnsi="Arial" w:cs="Arial"/>
          <w:sz w:val="22"/>
          <w:szCs w:val="22"/>
          <w:lang w:val="fr"/>
        </w:rPr>
        <w:t>Veuillez noter que des règles spéciales s’appliquent à l’achat de pesticides et de produits pharmaceutiques.</w:t>
      </w:r>
    </w:p>
    <w:p w:rsidRPr="00227E35" w:rsidR="59B01B25" w:rsidP="59B01B25" w:rsidRDefault="59B01B25" w14:paraId="0DBD1211" w14:textId="77777777">
      <w:pPr>
        <w:spacing w:before="18" w:line="220" w:lineRule="exact"/>
        <w:rPr>
          <w:rFonts w:ascii="Arial" w:hAnsi="Arial" w:cs="Arial"/>
          <w:sz w:val="22"/>
          <w:szCs w:val="22"/>
          <w:lang w:val="fr-FR"/>
        </w:rPr>
      </w:pPr>
    </w:p>
    <w:p w:rsidRPr="00227E35" w:rsidR="29080C39" w:rsidP="59B01B25" w:rsidRDefault="29080C39" w14:paraId="013F6B89" w14:textId="35CA84F3">
      <w:pPr>
        <w:tabs>
          <w:tab w:val="left" w:pos="820"/>
        </w:tabs>
        <w:ind w:left="836" w:right="78" w:hanging="360"/>
        <w:jc w:val="both"/>
        <w:rPr>
          <w:rFonts w:ascii="Arial" w:hAnsi="Arial" w:eastAsia="Arial" w:cs="Arial"/>
          <w:sz w:val="22"/>
          <w:szCs w:val="22"/>
          <w:lang w:val="fr-FR"/>
        </w:rPr>
      </w:pPr>
      <w:r w:rsidRPr="00227E35">
        <w:rPr>
          <w:rFonts w:ascii="Arial" w:hAnsi="Arial" w:cs="Arial"/>
          <w:sz w:val="22"/>
          <w:szCs w:val="22"/>
          <w:lang w:val="fr"/>
        </w:rPr>
        <w:t>•</w:t>
      </w:r>
      <w:r w:rsidRPr="00227E35">
        <w:rPr>
          <w:rFonts w:ascii="Arial" w:hAnsi="Arial" w:cs="Arial"/>
          <w:lang w:val="fr"/>
        </w:rPr>
        <w:tab/>
      </w:r>
      <w:r w:rsidRPr="00227E35">
        <w:rPr>
          <w:rFonts w:ascii="Arial" w:hAnsi="Arial" w:cs="Arial"/>
          <w:sz w:val="22"/>
          <w:szCs w:val="22"/>
          <w:lang w:val="fr"/>
        </w:rPr>
        <w:t xml:space="preserve">En ce qui concerne l’achat de pesticides et de biocides ainsi que d’autres produits agrochimiques, le partenaire privé doit présenter tous les détails sur l’utilisation de ces produits agrochimiques au </w:t>
      </w:r>
      <w:r w:rsidR="00227E35">
        <w:rPr>
          <w:rFonts w:ascii="Arial" w:hAnsi="Arial" w:cs="Arial"/>
          <w:sz w:val="22"/>
          <w:szCs w:val="22"/>
          <w:lang w:val="fr"/>
        </w:rPr>
        <w:t>responsable</w:t>
      </w:r>
      <w:r w:rsidRPr="00227E35">
        <w:rPr>
          <w:rFonts w:ascii="Arial" w:hAnsi="Arial" w:cs="Arial"/>
          <w:sz w:val="22"/>
          <w:szCs w:val="22"/>
          <w:lang w:val="fr"/>
        </w:rPr>
        <w:t xml:space="preserve"> de projet de la GIZ, avant la signature du contrat.</w:t>
      </w:r>
    </w:p>
    <w:p w:rsidRPr="00227E35" w:rsidR="29080C39" w:rsidP="59B01B25" w:rsidRDefault="29080C39" w14:paraId="0808D34D" w14:textId="16E2C426">
      <w:pPr>
        <w:tabs>
          <w:tab w:val="left" w:pos="820"/>
        </w:tabs>
        <w:spacing w:before="20" w:line="240" w:lineRule="exact"/>
        <w:ind w:left="829" w:right="73" w:hanging="355"/>
        <w:jc w:val="both"/>
        <w:rPr>
          <w:rFonts w:ascii="Arial" w:hAnsi="Arial" w:eastAsia="Arial" w:cs="Arial"/>
          <w:sz w:val="22"/>
          <w:szCs w:val="22"/>
          <w:lang w:val="fr-FR"/>
        </w:rPr>
      </w:pPr>
      <w:r w:rsidRPr="00227E35">
        <w:rPr>
          <w:rFonts w:ascii="Arial" w:hAnsi="Arial" w:cs="Arial"/>
          <w:sz w:val="22"/>
          <w:szCs w:val="22"/>
          <w:lang w:val="fr"/>
        </w:rPr>
        <w:t>•</w:t>
      </w:r>
      <w:r w:rsidRPr="00227E35">
        <w:rPr>
          <w:rFonts w:ascii="Arial" w:hAnsi="Arial" w:cs="Arial"/>
          <w:lang w:val="fr"/>
        </w:rPr>
        <w:tab/>
      </w:r>
      <w:r w:rsidRPr="00227E35">
        <w:rPr>
          <w:rFonts w:ascii="Arial" w:hAnsi="Arial" w:cs="Arial"/>
          <w:sz w:val="22"/>
          <w:szCs w:val="22"/>
          <w:lang w:val="fr"/>
        </w:rPr>
        <w:t xml:space="preserve">L’entreprise privée doit également présenter des détails au </w:t>
      </w:r>
      <w:r w:rsidR="00227E35">
        <w:rPr>
          <w:rFonts w:ascii="Arial" w:hAnsi="Arial" w:cs="Arial"/>
          <w:sz w:val="22"/>
          <w:szCs w:val="22"/>
          <w:lang w:val="fr"/>
        </w:rPr>
        <w:t>responsable</w:t>
      </w:r>
      <w:r w:rsidRPr="00227E35">
        <w:rPr>
          <w:rFonts w:ascii="Arial" w:hAnsi="Arial" w:cs="Arial"/>
          <w:sz w:val="22"/>
          <w:szCs w:val="22"/>
          <w:lang w:val="fr"/>
        </w:rPr>
        <w:t xml:space="preserve"> de projet de la GIZ lors de l’achat de produits pharmaceutiques.</w:t>
      </w:r>
    </w:p>
    <w:p w:rsidRPr="00757AF6" w:rsidR="59B01B25" w:rsidP="59B01B25" w:rsidRDefault="59B01B25" w14:paraId="2FE348BC" w14:textId="421D7146">
      <w:pPr>
        <w:spacing w:before="1" w:line="240" w:lineRule="exact"/>
        <w:rPr>
          <w:rFonts w:ascii="Arial" w:hAnsi="Arial" w:eastAsia="Arial" w:cs="Arial"/>
          <w:sz w:val="22"/>
          <w:szCs w:val="22"/>
          <w:lang w:val="fr-FR"/>
        </w:rPr>
      </w:pPr>
    </w:p>
    <w:sectPr w:rsidRPr="00757AF6" w:rsidR="59B01B25" w:rsidSect="0043237C">
      <w:headerReference w:type="default" r:id="rId11"/>
      <w:footerReference w:type="default" r:id="rId12"/>
      <w:pgSz w:w="11920" w:h="16840" w:orient="portrait"/>
      <w:pgMar w:top="1940" w:right="1300" w:bottom="280" w:left="13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925" w:rsidRDefault="00C40925" w14:paraId="1AC62E3D" w14:textId="77777777">
      <w:r>
        <w:rPr>
          <w:lang w:val="fr"/>
        </w:rPr>
        <w:separator/>
      </w:r>
    </w:p>
  </w:endnote>
  <w:endnote w:type="continuationSeparator" w:id="0">
    <w:p w:rsidR="00C40925" w:rsidRDefault="00C40925" w14:paraId="570A3DD6" w14:textId="77777777">
      <w:r>
        <w:rPr>
          <w:lang w:val="fr"/>
        </w:rPr>
        <w:continuationSeparator/>
      </w:r>
    </w:p>
  </w:endnote>
  <w:endnote w:type="continuationNotice" w:id="1">
    <w:p w:rsidR="00C40925" w:rsidRDefault="00C40925" w14:paraId="0E01EE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05"/>
      <w:gridCol w:w="3105"/>
      <w:gridCol w:w="3105"/>
    </w:tblGrid>
    <w:tr w:rsidR="27B81E82" w:rsidTr="27B81E82" w14:paraId="1822B04D" w14:textId="77777777">
      <w:tc>
        <w:tcPr>
          <w:tcW w:w="3105" w:type="dxa"/>
        </w:tcPr>
        <w:p w:rsidR="27B81E82" w:rsidP="27B81E82" w:rsidRDefault="27B81E82" w14:paraId="1FFAA990" w14:textId="579D40A0">
          <w:pPr>
            <w:pStyle w:val="En-tte"/>
            <w:ind w:left="-115"/>
          </w:pPr>
        </w:p>
      </w:tc>
      <w:tc>
        <w:tcPr>
          <w:tcW w:w="3105" w:type="dxa"/>
        </w:tcPr>
        <w:p w:rsidR="27B81E82" w:rsidP="27B81E82" w:rsidRDefault="27B81E82" w14:paraId="397DB5BD" w14:textId="1AD7D628">
          <w:pPr>
            <w:pStyle w:val="En-tte"/>
            <w:jc w:val="center"/>
          </w:pPr>
        </w:p>
      </w:tc>
      <w:tc>
        <w:tcPr>
          <w:tcW w:w="3105" w:type="dxa"/>
        </w:tcPr>
        <w:p w:rsidR="27B81E82" w:rsidP="27B81E82" w:rsidRDefault="27B81E82" w14:paraId="11B27770" w14:textId="614AD28F">
          <w:pPr>
            <w:pStyle w:val="En-tte"/>
            <w:spacing w:line="259" w:lineRule="auto"/>
            <w:ind w:right="-115"/>
            <w:jc w:val="right"/>
          </w:pPr>
          <w:r>
            <w:rPr>
              <w:lang w:val="fr"/>
            </w:rPr>
            <w:t>1</w:t>
          </w:r>
        </w:p>
      </w:tc>
    </w:tr>
  </w:tbl>
  <w:p w:rsidR="27B81E82" w:rsidP="27B81E82" w:rsidRDefault="00893562" w14:paraId="40641F68" w14:textId="40DEAF5C">
    <w:pPr>
      <w:pStyle w:val="Pieddepage"/>
    </w:pPr>
    <w:r>
      <w:rPr>
        <w:noProof/>
        <w:lang w:val="fr"/>
      </w:rPr>
      <w:drawing>
        <wp:anchor distT="0" distB="0" distL="114300" distR="114300" simplePos="0" relativeHeight="251658242" behindDoc="0" locked="0" layoutInCell="1" allowOverlap="1" wp14:anchorId="13732E53" wp14:editId="24674F45">
          <wp:simplePos x="0" y="0"/>
          <wp:positionH relativeFrom="column">
            <wp:posOffset>4870450</wp:posOffset>
          </wp:positionH>
          <wp:positionV relativeFrom="page">
            <wp:posOffset>10191750</wp:posOffset>
          </wp:positionV>
          <wp:extent cx="628650" cy="380365"/>
          <wp:effectExtent l="0" t="0" r="0" b="635"/>
          <wp:wrapNone/>
          <wp:docPr id="691267730" name="Picture 691267730" descr="Interface utilisateur graphique, applic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67730" name="Picture 4"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227">
      <w:rPr>
        <w:noProof/>
        <w:lang w:val="fr"/>
      </w:rPr>
      <w:drawing>
        <wp:anchor distT="0" distB="0" distL="114300" distR="114300" simplePos="0" relativeHeight="251658241" behindDoc="0" locked="0" layoutInCell="1" allowOverlap="1" wp14:anchorId="0C13BBD4" wp14:editId="71C279CA">
          <wp:simplePos x="0" y="0"/>
          <wp:positionH relativeFrom="margin">
            <wp:posOffset>5562600</wp:posOffset>
          </wp:positionH>
          <wp:positionV relativeFrom="page">
            <wp:align>bottom</wp:align>
          </wp:positionV>
          <wp:extent cx="1114425" cy="586861"/>
          <wp:effectExtent l="0" t="0" r="0" b="3810"/>
          <wp:wrapNone/>
          <wp:docPr id="1968944269" name="Picture 1968944269" descr="Interface utilisateur graphique, texte, applic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944269" name="Picture 2"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586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925" w:rsidRDefault="00C40925" w14:paraId="7C665BF7" w14:textId="77777777">
      <w:r>
        <w:rPr>
          <w:lang w:val="fr"/>
        </w:rPr>
        <w:separator/>
      </w:r>
    </w:p>
  </w:footnote>
  <w:footnote w:type="continuationSeparator" w:id="0">
    <w:p w:rsidR="00C40925" w:rsidRDefault="00C40925" w14:paraId="08E788C5" w14:textId="77777777">
      <w:r>
        <w:rPr>
          <w:lang w:val="fr"/>
        </w:rPr>
        <w:continuationSeparator/>
      </w:r>
    </w:p>
  </w:footnote>
  <w:footnote w:type="continuationNotice" w:id="1">
    <w:p w:rsidR="00C40925" w:rsidRDefault="00C40925" w14:paraId="20B14FD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50314" w:rsidR="00274DAF" w:rsidP="00450314" w:rsidRDefault="00F015BB" w14:paraId="0774C23F" w14:textId="393E1158">
    <w:pPr>
      <w:spacing w:line="200" w:lineRule="exact"/>
      <w:rPr>
        <w:rFonts w:asciiTheme="minorHAnsi" w:hAnsiTheme="minorHAnsi" w:cstheme="minorHAnsi"/>
        <w:sz w:val="22"/>
        <w:szCs w:val="22"/>
      </w:rPr>
    </w:pPr>
    <w:r>
      <w:rPr>
        <w:noProof/>
        <w:lang w:val="fr"/>
      </w:rPr>
      <w:drawing>
        <wp:anchor distT="0" distB="0" distL="114300" distR="114300" simplePos="0" relativeHeight="251658240" behindDoc="0" locked="0" layoutInCell="1" allowOverlap="1" wp14:anchorId="1D2C201B" wp14:editId="35B06BF9">
          <wp:simplePos x="0" y="0"/>
          <wp:positionH relativeFrom="column">
            <wp:posOffset>-457200</wp:posOffset>
          </wp:positionH>
          <wp:positionV relativeFrom="paragraph">
            <wp:posOffset>-190500</wp:posOffset>
          </wp:positionV>
          <wp:extent cx="2913380" cy="712470"/>
          <wp:effectExtent l="0" t="0" r="1270" b="0"/>
          <wp:wrapNone/>
          <wp:docPr id="454266232" name="Picture 454266232" descr="Une image contenant une icô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66232" name="Picture 454266232"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338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Pj5sexUinm/dRk" id="lbaUSTWO"/>
    <int:WordHash hashCode="y9nkAVCKPSRSi4" id="QLV5xtjE"/>
    <int:WordHash hashCode="7d6FDksqtNekOY" id="Ehejx1dz"/>
    <int:WordHash hashCode="53oxWZ6Z0V44AE" id="ploXNjJv"/>
    <int:WordHash hashCode="vTQ6RQCQf2J9Ff" id="AqvvyUPI"/>
    <int:WordHash hashCode="zGhfAgZsPXibWh" id="Vuyd9UkQ"/>
    <int:WordHash hashCode="Y4Og77PyYT60+N" id="w6lcVpUZ"/>
    <int:WordHash hashCode="351r0XWD+hEdsL" id="mgOGSiCv"/>
    <int:WordHash hashCode="4MPcu2SixSBwg2" id="IBuepUxY"/>
    <int:WordHash hashCode="Sr5jvXX8M6Om6A" id="3N5YkeK4"/>
    <int:WordHash hashCode="e4E9Y4E/ZuYMWr" id="85SSpUFj"/>
    <int:WordHash hashCode="PnzlC+gY9xrDTS" id="QvLBTFme"/>
    <int:WordHash hashCode="cLyu/v2PmgxoSE" id="wpkhy5xV"/>
    <int:WordHash hashCode="X0atfq/4MmaI55" id="AbWNmp92"/>
    <int:WordHash hashCode="QuNe3IWR9eaB8U" id="hEJ1SAFc"/>
    <int:ParagraphRange paragraphId="1518278835" textId="2088315290" start="0" length="105" invalidationStart="0" invalidationLength="105" id="ouXb372N"/>
    <int:ParagraphRange paragraphId="1821281872" textId="20441135" start="241" length="6" invalidationStart="241" invalidationLength="6" id="0o65pEiO"/>
  </int:Manifest>
  <int:Observations>
    <int:Content id="lbaUSTWO">
      <int:Rejection type="AugLoop_Text_Critique"/>
    </int:Content>
    <int:Content id="QLV5xtjE">
      <int:Rejection type="AugLoop_Text_Critique"/>
    </int:Content>
    <int:Content id="Ehejx1dz">
      <int:Rejection type="AugLoop_Text_Critique"/>
    </int:Content>
    <int:Content id="ploXNjJv">
      <int:Rejection type="AugLoop_Text_Critique"/>
    </int:Content>
    <int:Content id="AqvvyUPI">
      <int:Rejection type="AugLoop_Text_Critique"/>
    </int:Content>
    <int:Content id="Vuyd9UkQ">
      <int:Rejection type="AugLoop_Text_Critique"/>
    </int:Content>
    <int:Content id="w6lcVpUZ">
      <int:Rejection type="AugLoop_Text_Critique"/>
    </int:Content>
    <int:Content id="mgOGSiCv">
      <int:Rejection type="AugLoop_Text_Critique"/>
    </int:Content>
    <int:Content id="IBuepUxY">
      <int:Rejection type="AugLoop_Text_Critique"/>
    </int:Content>
    <int:Content id="3N5YkeK4">
      <int:Rejection type="AugLoop_Text_Critique"/>
    </int:Content>
    <int:Content id="85SSpUFj">
      <int:Rejection type="AugLoop_Text_Critique"/>
    </int:Content>
    <int:Content id="QvLBTFme">
      <int:Rejection type="AugLoop_Text_Critique"/>
    </int:Content>
    <int:Content id="wpkhy5xV">
      <int:Rejection type="AugLoop_Text_Critique"/>
    </int:Content>
    <int:Content id="AbWNmp92">
      <int:Rejection type="AugLoop_Acronyms_AcronymsCritique"/>
    </int:Content>
    <int:Content id="hEJ1SAFc">
      <int:Rejection type="AugLoop_Text_Critique"/>
    </int:Content>
    <int:Content id="ouXb372N">
      <int:Reviewed type="WordDesignerSuggestedImageAnnotation"/>
    </int:Content>
    <int:Content id="0o65pEi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72f11fc8"/>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108da4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2B661C"/>
    <w:multiLevelType w:val="hybridMultilevel"/>
    <w:tmpl w:val="074A22C4"/>
    <w:lvl w:ilvl="0" w:tplc="248EA61C">
      <w:start w:val="1"/>
      <w:numFmt w:val="bullet"/>
      <w:lvlText w:val=""/>
      <w:lvlJc w:val="left"/>
      <w:pPr>
        <w:ind w:left="540" w:hanging="360"/>
      </w:pPr>
      <w:rPr>
        <w:rFonts w:hint="default" w:ascii="Symbol" w:hAnsi="Symbol"/>
      </w:rPr>
    </w:lvl>
    <w:lvl w:ilvl="1" w:tplc="04090003" w:tentative="1">
      <w:start w:val="1"/>
      <w:numFmt w:val="bullet"/>
      <w:lvlText w:val="o"/>
      <w:lvlJc w:val="left"/>
      <w:pPr>
        <w:ind w:left="990" w:hanging="360"/>
      </w:pPr>
      <w:rPr>
        <w:rFonts w:hint="default" w:ascii="Courier New" w:hAnsi="Courier New" w:cs="Courier New"/>
      </w:rPr>
    </w:lvl>
    <w:lvl w:ilvl="2" w:tplc="04090005" w:tentative="1">
      <w:start w:val="1"/>
      <w:numFmt w:val="bullet"/>
      <w:lvlText w:val=""/>
      <w:lvlJc w:val="left"/>
      <w:pPr>
        <w:ind w:left="1710" w:hanging="360"/>
      </w:pPr>
      <w:rPr>
        <w:rFonts w:hint="default" w:ascii="Wingdings" w:hAnsi="Wingdings"/>
      </w:rPr>
    </w:lvl>
    <w:lvl w:ilvl="3" w:tplc="04090001" w:tentative="1">
      <w:start w:val="1"/>
      <w:numFmt w:val="bullet"/>
      <w:lvlText w:val=""/>
      <w:lvlJc w:val="left"/>
      <w:pPr>
        <w:ind w:left="2430" w:hanging="360"/>
      </w:pPr>
      <w:rPr>
        <w:rFonts w:hint="default" w:ascii="Symbol" w:hAnsi="Symbol"/>
      </w:rPr>
    </w:lvl>
    <w:lvl w:ilvl="4" w:tplc="04090003" w:tentative="1">
      <w:start w:val="1"/>
      <w:numFmt w:val="bullet"/>
      <w:lvlText w:val="o"/>
      <w:lvlJc w:val="left"/>
      <w:pPr>
        <w:ind w:left="3150" w:hanging="360"/>
      </w:pPr>
      <w:rPr>
        <w:rFonts w:hint="default" w:ascii="Courier New" w:hAnsi="Courier New" w:cs="Courier New"/>
      </w:rPr>
    </w:lvl>
    <w:lvl w:ilvl="5" w:tplc="04090005" w:tentative="1">
      <w:start w:val="1"/>
      <w:numFmt w:val="bullet"/>
      <w:lvlText w:val=""/>
      <w:lvlJc w:val="left"/>
      <w:pPr>
        <w:ind w:left="3870" w:hanging="360"/>
      </w:pPr>
      <w:rPr>
        <w:rFonts w:hint="default" w:ascii="Wingdings" w:hAnsi="Wingdings"/>
      </w:rPr>
    </w:lvl>
    <w:lvl w:ilvl="6" w:tplc="04090001" w:tentative="1">
      <w:start w:val="1"/>
      <w:numFmt w:val="bullet"/>
      <w:lvlText w:val=""/>
      <w:lvlJc w:val="left"/>
      <w:pPr>
        <w:ind w:left="4590" w:hanging="360"/>
      </w:pPr>
      <w:rPr>
        <w:rFonts w:hint="default" w:ascii="Symbol" w:hAnsi="Symbol"/>
      </w:rPr>
    </w:lvl>
    <w:lvl w:ilvl="7" w:tplc="04090003" w:tentative="1">
      <w:start w:val="1"/>
      <w:numFmt w:val="bullet"/>
      <w:lvlText w:val="o"/>
      <w:lvlJc w:val="left"/>
      <w:pPr>
        <w:ind w:left="5310" w:hanging="360"/>
      </w:pPr>
      <w:rPr>
        <w:rFonts w:hint="default" w:ascii="Courier New" w:hAnsi="Courier New" w:cs="Courier New"/>
      </w:rPr>
    </w:lvl>
    <w:lvl w:ilvl="8" w:tplc="04090005" w:tentative="1">
      <w:start w:val="1"/>
      <w:numFmt w:val="bullet"/>
      <w:lvlText w:val=""/>
      <w:lvlJc w:val="left"/>
      <w:pPr>
        <w:ind w:left="6030" w:hanging="360"/>
      </w:pPr>
      <w:rPr>
        <w:rFonts w:hint="default" w:ascii="Wingdings" w:hAnsi="Wingdings"/>
      </w:rPr>
    </w:lvl>
  </w:abstractNum>
  <w:abstractNum w:abstractNumId="1" w15:restartNumberingAfterBreak="0">
    <w:nsid w:val="06701803"/>
    <w:multiLevelType w:val="hybridMultilevel"/>
    <w:tmpl w:val="D42429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A21414"/>
    <w:multiLevelType w:val="hybridMultilevel"/>
    <w:tmpl w:val="117C26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3D31B3"/>
    <w:multiLevelType w:val="hybridMultilevel"/>
    <w:tmpl w:val="9F5E66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A9259D3"/>
    <w:multiLevelType w:val="hybridMultilevel"/>
    <w:tmpl w:val="9B34C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D732CDA"/>
    <w:multiLevelType w:val="hybridMultilevel"/>
    <w:tmpl w:val="DA84980C"/>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6" w15:restartNumberingAfterBreak="0">
    <w:nsid w:val="3F9C02D9"/>
    <w:multiLevelType w:val="hybridMultilevel"/>
    <w:tmpl w:val="FC8881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F9D36C6"/>
    <w:multiLevelType w:val="hybridMultilevel"/>
    <w:tmpl w:val="180019FA"/>
    <w:lvl w:ilvl="0" w:tplc="04090001">
      <w:start w:val="1"/>
      <w:numFmt w:val="bullet"/>
      <w:lvlText w:val=""/>
      <w:lvlJc w:val="left"/>
      <w:pPr>
        <w:ind w:left="835" w:hanging="360"/>
      </w:pPr>
      <w:rPr>
        <w:rFonts w:hint="default" w:ascii="Symbol" w:hAnsi="Symbol"/>
      </w:rPr>
    </w:lvl>
    <w:lvl w:ilvl="1" w:tplc="04090003" w:tentative="1">
      <w:start w:val="1"/>
      <w:numFmt w:val="bullet"/>
      <w:lvlText w:val="o"/>
      <w:lvlJc w:val="left"/>
      <w:pPr>
        <w:ind w:left="1555" w:hanging="360"/>
      </w:pPr>
      <w:rPr>
        <w:rFonts w:hint="default" w:ascii="Courier New" w:hAnsi="Courier New" w:cs="Courier New"/>
      </w:rPr>
    </w:lvl>
    <w:lvl w:ilvl="2" w:tplc="04090005" w:tentative="1">
      <w:start w:val="1"/>
      <w:numFmt w:val="bullet"/>
      <w:lvlText w:val=""/>
      <w:lvlJc w:val="left"/>
      <w:pPr>
        <w:ind w:left="2275" w:hanging="360"/>
      </w:pPr>
      <w:rPr>
        <w:rFonts w:hint="default" w:ascii="Wingdings" w:hAnsi="Wingdings"/>
      </w:rPr>
    </w:lvl>
    <w:lvl w:ilvl="3" w:tplc="04090001" w:tentative="1">
      <w:start w:val="1"/>
      <w:numFmt w:val="bullet"/>
      <w:lvlText w:val=""/>
      <w:lvlJc w:val="left"/>
      <w:pPr>
        <w:ind w:left="2995" w:hanging="360"/>
      </w:pPr>
      <w:rPr>
        <w:rFonts w:hint="default" w:ascii="Symbol" w:hAnsi="Symbol"/>
      </w:rPr>
    </w:lvl>
    <w:lvl w:ilvl="4" w:tplc="04090003" w:tentative="1">
      <w:start w:val="1"/>
      <w:numFmt w:val="bullet"/>
      <w:lvlText w:val="o"/>
      <w:lvlJc w:val="left"/>
      <w:pPr>
        <w:ind w:left="3715" w:hanging="360"/>
      </w:pPr>
      <w:rPr>
        <w:rFonts w:hint="default" w:ascii="Courier New" w:hAnsi="Courier New" w:cs="Courier New"/>
      </w:rPr>
    </w:lvl>
    <w:lvl w:ilvl="5" w:tplc="04090005" w:tentative="1">
      <w:start w:val="1"/>
      <w:numFmt w:val="bullet"/>
      <w:lvlText w:val=""/>
      <w:lvlJc w:val="left"/>
      <w:pPr>
        <w:ind w:left="4435" w:hanging="360"/>
      </w:pPr>
      <w:rPr>
        <w:rFonts w:hint="default" w:ascii="Wingdings" w:hAnsi="Wingdings"/>
      </w:rPr>
    </w:lvl>
    <w:lvl w:ilvl="6" w:tplc="04090001" w:tentative="1">
      <w:start w:val="1"/>
      <w:numFmt w:val="bullet"/>
      <w:lvlText w:val=""/>
      <w:lvlJc w:val="left"/>
      <w:pPr>
        <w:ind w:left="5155" w:hanging="360"/>
      </w:pPr>
      <w:rPr>
        <w:rFonts w:hint="default" w:ascii="Symbol" w:hAnsi="Symbol"/>
      </w:rPr>
    </w:lvl>
    <w:lvl w:ilvl="7" w:tplc="04090003" w:tentative="1">
      <w:start w:val="1"/>
      <w:numFmt w:val="bullet"/>
      <w:lvlText w:val="o"/>
      <w:lvlJc w:val="left"/>
      <w:pPr>
        <w:ind w:left="5875" w:hanging="360"/>
      </w:pPr>
      <w:rPr>
        <w:rFonts w:hint="default" w:ascii="Courier New" w:hAnsi="Courier New" w:cs="Courier New"/>
      </w:rPr>
    </w:lvl>
    <w:lvl w:ilvl="8" w:tplc="04090005" w:tentative="1">
      <w:start w:val="1"/>
      <w:numFmt w:val="bullet"/>
      <w:lvlText w:val=""/>
      <w:lvlJc w:val="left"/>
      <w:pPr>
        <w:ind w:left="6595" w:hanging="360"/>
      </w:pPr>
      <w:rPr>
        <w:rFonts w:hint="default" w:ascii="Wingdings" w:hAnsi="Wingdings"/>
      </w:rPr>
    </w:lvl>
  </w:abstractNum>
  <w:abstractNum w:abstractNumId="8" w15:restartNumberingAfterBreak="0">
    <w:nsid w:val="50EA7699"/>
    <w:multiLevelType w:val="hybridMultilevel"/>
    <w:tmpl w:val="2BD2A162"/>
    <w:lvl w:ilvl="0" w:tplc="248EA61C">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9" w15:restartNumberingAfterBreak="0">
    <w:nsid w:val="545A5117"/>
    <w:multiLevelType w:val="multilevel"/>
    <w:tmpl w:val="4D0C39AC"/>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0" w15:restartNumberingAfterBreak="0">
    <w:nsid w:val="552A789D"/>
    <w:multiLevelType w:val="hybridMultilevel"/>
    <w:tmpl w:val="F4CCD258"/>
    <w:lvl w:ilvl="0" w:tplc="248EA61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 w16cid:durableId="1716663516">
    <w:abstractNumId w:val="9"/>
  </w:num>
  <w:num w:numId="2" w16cid:durableId="1446775753">
    <w:abstractNumId w:val="5"/>
  </w:num>
  <w:num w:numId="3" w16cid:durableId="1607224780">
    <w:abstractNumId w:val="7"/>
  </w:num>
  <w:num w:numId="4" w16cid:durableId="1441686895">
    <w:abstractNumId w:val="2"/>
  </w:num>
  <w:num w:numId="5" w16cid:durableId="576289144">
    <w:abstractNumId w:val="0"/>
  </w:num>
  <w:num w:numId="6" w16cid:durableId="2034109704">
    <w:abstractNumId w:val="10"/>
  </w:num>
  <w:num w:numId="7" w16cid:durableId="1789466407">
    <w:abstractNumId w:val="8"/>
  </w:num>
  <w:num w:numId="8" w16cid:durableId="1356079686">
    <w:abstractNumId w:val="1"/>
  </w:num>
  <w:num w:numId="9" w16cid:durableId="1615477195">
    <w:abstractNumId w:val="6"/>
  </w:num>
  <w:num w:numId="10" w16cid:durableId="647053343">
    <w:abstractNumId w:val="3"/>
  </w:num>
  <w:num w:numId="11" w16cid:durableId="778260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AF"/>
    <w:rsid w:val="000578AA"/>
    <w:rsid w:val="00074B36"/>
    <w:rsid w:val="00094A04"/>
    <w:rsid w:val="000D1412"/>
    <w:rsid w:val="00106AC3"/>
    <w:rsid w:val="00113CAE"/>
    <w:rsid w:val="00121CA7"/>
    <w:rsid w:val="001320AC"/>
    <w:rsid w:val="00140138"/>
    <w:rsid w:val="001733A7"/>
    <w:rsid w:val="00190B6D"/>
    <w:rsid w:val="001A5901"/>
    <w:rsid w:val="001C2227"/>
    <w:rsid w:val="001D10C7"/>
    <w:rsid w:val="001F7B94"/>
    <w:rsid w:val="00227E35"/>
    <w:rsid w:val="002451C6"/>
    <w:rsid w:val="00246CF4"/>
    <w:rsid w:val="00257AE1"/>
    <w:rsid w:val="0026674D"/>
    <w:rsid w:val="00274DAF"/>
    <w:rsid w:val="00277B51"/>
    <w:rsid w:val="002D7535"/>
    <w:rsid w:val="003109B2"/>
    <w:rsid w:val="00312FC4"/>
    <w:rsid w:val="00321710"/>
    <w:rsid w:val="0032243F"/>
    <w:rsid w:val="003322BF"/>
    <w:rsid w:val="00335273"/>
    <w:rsid w:val="00346B48"/>
    <w:rsid w:val="00363B55"/>
    <w:rsid w:val="003766B4"/>
    <w:rsid w:val="003920F2"/>
    <w:rsid w:val="003A6E73"/>
    <w:rsid w:val="003C0181"/>
    <w:rsid w:val="003D0A46"/>
    <w:rsid w:val="003E3843"/>
    <w:rsid w:val="003F41E5"/>
    <w:rsid w:val="0043237C"/>
    <w:rsid w:val="00450314"/>
    <w:rsid w:val="00451348"/>
    <w:rsid w:val="00482BB5"/>
    <w:rsid w:val="00484BC4"/>
    <w:rsid w:val="004920B9"/>
    <w:rsid w:val="0049566E"/>
    <w:rsid w:val="004E52E9"/>
    <w:rsid w:val="004E61FE"/>
    <w:rsid w:val="004F034E"/>
    <w:rsid w:val="005030B6"/>
    <w:rsid w:val="005063A2"/>
    <w:rsid w:val="005711A1"/>
    <w:rsid w:val="00586FF1"/>
    <w:rsid w:val="005A35C6"/>
    <w:rsid w:val="005B1B7E"/>
    <w:rsid w:val="005B392B"/>
    <w:rsid w:val="006025A6"/>
    <w:rsid w:val="00622AD5"/>
    <w:rsid w:val="00632A7D"/>
    <w:rsid w:val="006662D4"/>
    <w:rsid w:val="006A3AD9"/>
    <w:rsid w:val="006A3B1E"/>
    <w:rsid w:val="006A3D65"/>
    <w:rsid w:val="006C1E2E"/>
    <w:rsid w:val="00703B1D"/>
    <w:rsid w:val="0073047D"/>
    <w:rsid w:val="0073293F"/>
    <w:rsid w:val="007417DA"/>
    <w:rsid w:val="00757AF6"/>
    <w:rsid w:val="00790D24"/>
    <w:rsid w:val="007A7337"/>
    <w:rsid w:val="00806D6E"/>
    <w:rsid w:val="00844F1A"/>
    <w:rsid w:val="00850271"/>
    <w:rsid w:val="0085041B"/>
    <w:rsid w:val="008870F2"/>
    <w:rsid w:val="00893562"/>
    <w:rsid w:val="00894130"/>
    <w:rsid w:val="00897805"/>
    <w:rsid w:val="008A20F8"/>
    <w:rsid w:val="008A4603"/>
    <w:rsid w:val="008D6826"/>
    <w:rsid w:val="008E1703"/>
    <w:rsid w:val="008F4C3F"/>
    <w:rsid w:val="008F53F9"/>
    <w:rsid w:val="00915DAE"/>
    <w:rsid w:val="00942504"/>
    <w:rsid w:val="00950A37"/>
    <w:rsid w:val="009606A6"/>
    <w:rsid w:val="00965866"/>
    <w:rsid w:val="009814C0"/>
    <w:rsid w:val="009B21E7"/>
    <w:rsid w:val="009C5B5E"/>
    <w:rsid w:val="009D248E"/>
    <w:rsid w:val="009E0268"/>
    <w:rsid w:val="009E7313"/>
    <w:rsid w:val="00A0107A"/>
    <w:rsid w:val="00A03234"/>
    <w:rsid w:val="00A36538"/>
    <w:rsid w:val="00A44BB3"/>
    <w:rsid w:val="00A61B5D"/>
    <w:rsid w:val="00A74696"/>
    <w:rsid w:val="00A867EB"/>
    <w:rsid w:val="00AC73A4"/>
    <w:rsid w:val="00AD37B6"/>
    <w:rsid w:val="00B11000"/>
    <w:rsid w:val="00B3538F"/>
    <w:rsid w:val="00B43C71"/>
    <w:rsid w:val="00B7632E"/>
    <w:rsid w:val="00B84E83"/>
    <w:rsid w:val="00BB565C"/>
    <w:rsid w:val="00BD223C"/>
    <w:rsid w:val="00C15386"/>
    <w:rsid w:val="00C22E99"/>
    <w:rsid w:val="00C34435"/>
    <w:rsid w:val="00C360D3"/>
    <w:rsid w:val="00C4059F"/>
    <w:rsid w:val="00C40925"/>
    <w:rsid w:val="00C80C4B"/>
    <w:rsid w:val="00CA1AEE"/>
    <w:rsid w:val="00CA5C60"/>
    <w:rsid w:val="00CB7709"/>
    <w:rsid w:val="00D00B5A"/>
    <w:rsid w:val="00D37843"/>
    <w:rsid w:val="00D4250C"/>
    <w:rsid w:val="00D96E36"/>
    <w:rsid w:val="00DA1326"/>
    <w:rsid w:val="00DD1B5C"/>
    <w:rsid w:val="00DE48B3"/>
    <w:rsid w:val="00E525CD"/>
    <w:rsid w:val="00E62A99"/>
    <w:rsid w:val="00E760A8"/>
    <w:rsid w:val="00EB18F7"/>
    <w:rsid w:val="00EC6B86"/>
    <w:rsid w:val="00F015BB"/>
    <w:rsid w:val="00F120D8"/>
    <w:rsid w:val="00F52E02"/>
    <w:rsid w:val="00F54BE6"/>
    <w:rsid w:val="00F73AFD"/>
    <w:rsid w:val="00F86D6B"/>
    <w:rsid w:val="00F87E84"/>
    <w:rsid w:val="02A72C73"/>
    <w:rsid w:val="02CACFF1"/>
    <w:rsid w:val="04500A4C"/>
    <w:rsid w:val="046D7CD6"/>
    <w:rsid w:val="04BF4EAA"/>
    <w:rsid w:val="07233DC2"/>
    <w:rsid w:val="07E75411"/>
    <w:rsid w:val="0BFFFAA4"/>
    <w:rsid w:val="0D7E9EA7"/>
    <w:rsid w:val="0DB21757"/>
    <w:rsid w:val="1092CCA1"/>
    <w:rsid w:val="10C0C7C3"/>
    <w:rsid w:val="11D6E146"/>
    <w:rsid w:val="12333901"/>
    <w:rsid w:val="12C859FA"/>
    <w:rsid w:val="130311FB"/>
    <w:rsid w:val="13C804EB"/>
    <w:rsid w:val="13D5FA17"/>
    <w:rsid w:val="14B6A8F8"/>
    <w:rsid w:val="15D8B04A"/>
    <w:rsid w:val="1676DDD2"/>
    <w:rsid w:val="1769EEFF"/>
    <w:rsid w:val="182045BC"/>
    <w:rsid w:val="18A9DD37"/>
    <w:rsid w:val="1992E2EE"/>
    <w:rsid w:val="1B2C9415"/>
    <w:rsid w:val="1BD7B4DB"/>
    <w:rsid w:val="1C6EA369"/>
    <w:rsid w:val="1DBE65F4"/>
    <w:rsid w:val="1E7F5024"/>
    <w:rsid w:val="1F5A3655"/>
    <w:rsid w:val="201068A7"/>
    <w:rsid w:val="21AB5C64"/>
    <w:rsid w:val="22636B7A"/>
    <w:rsid w:val="2313040F"/>
    <w:rsid w:val="23419FC0"/>
    <w:rsid w:val="236CC89B"/>
    <w:rsid w:val="23B9185A"/>
    <w:rsid w:val="245B6732"/>
    <w:rsid w:val="25558EE5"/>
    <w:rsid w:val="259B0C3C"/>
    <w:rsid w:val="26F0B91C"/>
    <w:rsid w:val="26FF0A8D"/>
    <w:rsid w:val="2736DC9D"/>
    <w:rsid w:val="27B81E82"/>
    <w:rsid w:val="29080C39"/>
    <w:rsid w:val="2A2859DE"/>
    <w:rsid w:val="2A5B7B17"/>
    <w:rsid w:val="2AEF6DC5"/>
    <w:rsid w:val="2CA48736"/>
    <w:rsid w:val="2CC72F2F"/>
    <w:rsid w:val="2DF93394"/>
    <w:rsid w:val="2E403FE0"/>
    <w:rsid w:val="300828D5"/>
    <w:rsid w:val="30CBA042"/>
    <w:rsid w:val="325B2952"/>
    <w:rsid w:val="33358027"/>
    <w:rsid w:val="336614F8"/>
    <w:rsid w:val="339361AB"/>
    <w:rsid w:val="33E57A20"/>
    <w:rsid w:val="34D24114"/>
    <w:rsid w:val="356B0C85"/>
    <w:rsid w:val="3572FA0B"/>
    <w:rsid w:val="3617EB42"/>
    <w:rsid w:val="369751D2"/>
    <w:rsid w:val="373B5096"/>
    <w:rsid w:val="389C6189"/>
    <w:rsid w:val="392AAE64"/>
    <w:rsid w:val="3A051629"/>
    <w:rsid w:val="3A6074C6"/>
    <w:rsid w:val="3AA82AE3"/>
    <w:rsid w:val="3AB45087"/>
    <w:rsid w:val="3C7536CD"/>
    <w:rsid w:val="3CC8597C"/>
    <w:rsid w:val="3CFB0C20"/>
    <w:rsid w:val="3D1DB4D8"/>
    <w:rsid w:val="3D6380FB"/>
    <w:rsid w:val="3D7E0BF0"/>
    <w:rsid w:val="3D9F7E23"/>
    <w:rsid w:val="3DBEDEF6"/>
    <w:rsid w:val="3EEA7999"/>
    <w:rsid w:val="3F02F7ED"/>
    <w:rsid w:val="3F3B0926"/>
    <w:rsid w:val="3F5AAF57"/>
    <w:rsid w:val="4196AB33"/>
    <w:rsid w:val="42239A64"/>
    <w:rsid w:val="4275FB4F"/>
    <w:rsid w:val="45CC5738"/>
    <w:rsid w:val="473B2C32"/>
    <w:rsid w:val="47CFA16F"/>
    <w:rsid w:val="4914F172"/>
    <w:rsid w:val="4A0FE84B"/>
    <w:rsid w:val="4A208502"/>
    <w:rsid w:val="4A5A3C0F"/>
    <w:rsid w:val="4ADD2C37"/>
    <w:rsid w:val="4B169692"/>
    <w:rsid w:val="4B23C392"/>
    <w:rsid w:val="4BA0A46A"/>
    <w:rsid w:val="4BD942AF"/>
    <w:rsid w:val="4CA22055"/>
    <w:rsid w:val="4D8D2735"/>
    <w:rsid w:val="4DFDB59E"/>
    <w:rsid w:val="4EC78FF1"/>
    <w:rsid w:val="4EFDEA0A"/>
    <w:rsid w:val="4F1CCC94"/>
    <w:rsid w:val="4FD59253"/>
    <w:rsid w:val="500A9AB1"/>
    <w:rsid w:val="50220523"/>
    <w:rsid w:val="5080CA5C"/>
    <w:rsid w:val="511B525C"/>
    <w:rsid w:val="51D56245"/>
    <w:rsid w:val="52CAC2D9"/>
    <w:rsid w:val="52F006CB"/>
    <w:rsid w:val="5460035B"/>
    <w:rsid w:val="549A43D5"/>
    <w:rsid w:val="54AE763E"/>
    <w:rsid w:val="54B17037"/>
    <w:rsid w:val="5532A860"/>
    <w:rsid w:val="553A6EB4"/>
    <w:rsid w:val="55B4F139"/>
    <w:rsid w:val="55F5FCA0"/>
    <w:rsid w:val="5658F0A9"/>
    <w:rsid w:val="56959E44"/>
    <w:rsid w:val="56CD93BB"/>
    <w:rsid w:val="574F33E5"/>
    <w:rsid w:val="57D1E497"/>
    <w:rsid w:val="58CA9643"/>
    <w:rsid w:val="59B01B25"/>
    <w:rsid w:val="59D2A9CC"/>
    <w:rsid w:val="5A7330EC"/>
    <w:rsid w:val="5B61B9F5"/>
    <w:rsid w:val="5BD022F0"/>
    <w:rsid w:val="5C1BDD6B"/>
    <w:rsid w:val="5C2C2837"/>
    <w:rsid w:val="5CE91DB9"/>
    <w:rsid w:val="5CE9FEF4"/>
    <w:rsid w:val="5DEC22A9"/>
    <w:rsid w:val="5E9E5344"/>
    <w:rsid w:val="5F09EBB8"/>
    <w:rsid w:val="5F87F30A"/>
    <w:rsid w:val="60202667"/>
    <w:rsid w:val="6020BE7B"/>
    <w:rsid w:val="60A534A0"/>
    <w:rsid w:val="6169F263"/>
    <w:rsid w:val="61BC8EDC"/>
    <w:rsid w:val="621B8E0E"/>
    <w:rsid w:val="63394293"/>
    <w:rsid w:val="644068A0"/>
    <w:rsid w:val="661A73EC"/>
    <w:rsid w:val="66B4FD20"/>
    <w:rsid w:val="6779DC92"/>
    <w:rsid w:val="68A2BC4D"/>
    <w:rsid w:val="6919DBD3"/>
    <w:rsid w:val="6A632707"/>
    <w:rsid w:val="6C4D4DB5"/>
    <w:rsid w:val="6C8901E1"/>
    <w:rsid w:val="6D62637F"/>
    <w:rsid w:val="6FBBCFFB"/>
    <w:rsid w:val="701DB9E8"/>
    <w:rsid w:val="703416BA"/>
    <w:rsid w:val="70F2CE08"/>
    <w:rsid w:val="71B98A49"/>
    <w:rsid w:val="72DA4860"/>
    <w:rsid w:val="736BFECE"/>
    <w:rsid w:val="74432950"/>
    <w:rsid w:val="74F46A2F"/>
    <w:rsid w:val="7598B55A"/>
    <w:rsid w:val="75E588CA"/>
    <w:rsid w:val="777545E9"/>
    <w:rsid w:val="77B52765"/>
    <w:rsid w:val="78C37330"/>
    <w:rsid w:val="79020491"/>
    <w:rsid w:val="79673D05"/>
    <w:rsid w:val="7A9DD4F2"/>
    <w:rsid w:val="7B7E9137"/>
    <w:rsid w:val="7C39A553"/>
    <w:rsid w:val="7C6A6D7E"/>
    <w:rsid w:val="7CE54001"/>
    <w:rsid w:val="7D251FF3"/>
    <w:rsid w:val="7D4763D9"/>
    <w:rsid w:val="7D499319"/>
    <w:rsid w:val="7E387F97"/>
    <w:rsid w:val="7F29E6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0525"/>
  <w15:docId w15:val="{5E715D11-BB5E-44DE-AF86-A5355255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1412"/>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hAnsiTheme="minorHAnsi" w:eastAsiaTheme="minorEastAsia"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hAnsiTheme="minorHAnsi" w:eastAsiaTheme="minorEastAsia"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hAnsiTheme="majorHAnsi" w:eastAsiaTheme="majorEastAsia" w:cstheme="majorBidi"/>
      <w:sz w:val="22"/>
      <w:szCs w:val="2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1B3490"/>
    <w:rPr>
      <w:rFonts w:asciiTheme="majorHAnsi" w:hAnsiTheme="majorHAnsi" w:eastAsiaTheme="majorEastAsia" w:cstheme="majorBidi"/>
      <w:b/>
      <w:bCs/>
      <w:kern w:val="32"/>
      <w:sz w:val="32"/>
      <w:szCs w:val="32"/>
    </w:rPr>
  </w:style>
  <w:style w:type="character" w:styleId="Titre2Car" w:customStyle="1">
    <w:name w:val="Titre 2 Car"/>
    <w:basedOn w:val="Policepardfaut"/>
    <w:link w:val="Titre2"/>
    <w:uiPriority w:val="9"/>
    <w:semiHidden/>
    <w:rsid w:val="001B3490"/>
    <w:rPr>
      <w:rFonts w:asciiTheme="majorHAnsi" w:hAnsiTheme="majorHAnsi" w:eastAsiaTheme="majorEastAsia" w:cstheme="majorBidi"/>
      <w:b/>
      <w:bCs/>
      <w:i/>
      <w:iCs/>
      <w:sz w:val="28"/>
      <w:szCs w:val="28"/>
    </w:rPr>
  </w:style>
  <w:style w:type="character" w:styleId="Titre3Car" w:customStyle="1">
    <w:name w:val="Titre 3 Car"/>
    <w:basedOn w:val="Policepardfaut"/>
    <w:link w:val="Titre3"/>
    <w:uiPriority w:val="9"/>
    <w:semiHidden/>
    <w:rsid w:val="001B3490"/>
    <w:rPr>
      <w:rFonts w:asciiTheme="majorHAnsi" w:hAnsiTheme="majorHAnsi" w:eastAsiaTheme="majorEastAsia" w:cstheme="majorBidi"/>
      <w:b/>
      <w:bCs/>
      <w:sz w:val="26"/>
      <w:szCs w:val="26"/>
    </w:rPr>
  </w:style>
  <w:style w:type="character" w:styleId="Titre4Car" w:customStyle="1">
    <w:name w:val="Titre 4 Car"/>
    <w:basedOn w:val="Policepardfaut"/>
    <w:link w:val="Titre4"/>
    <w:uiPriority w:val="9"/>
    <w:semiHidden/>
    <w:rsid w:val="001B3490"/>
    <w:rPr>
      <w:rFonts w:asciiTheme="minorHAnsi" w:hAnsiTheme="minorHAnsi" w:eastAsiaTheme="minorEastAsia" w:cstheme="minorBidi"/>
      <w:b/>
      <w:bCs/>
      <w:sz w:val="28"/>
      <w:szCs w:val="28"/>
    </w:rPr>
  </w:style>
  <w:style w:type="character" w:styleId="Titre5Car" w:customStyle="1">
    <w:name w:val="Titre 5 Car"/>
    <w:basedOn w:val="Policepardfaut"/>
    <w:link w:val="Titre5"/>
    <w:uiPriority w:val="9"/>
    <w:semiHidden/>
    <w:rsid w:val="001B3490"/>
    <w:rPr>
      <w:rFonts w:asciiTheme="minorHAnsi" w:hAnsiTheme="minorHAnsi" w:eastAsiaTheme="minorEastAsia" w:cstheme="minorBidi"/>
      <w:b/>
      <w:bCs/>
      <w:i/>
      <w:iCs/>
      <w:sz w:val="26"/>
      <w:szCs w:val="26"/>
    </w:rPr>
  </w:style>
  <w:style w:type="character" w:styleId="Titre6Car" w:customStyle="1">
    <w:name w:val="Titre 6 Car"/>
    <w:basedOn w:val="Policepardfaut"/>
    <w:link w:val="Titre6"/>
    <w:rsid w:val="001B3490"/>
    <w:rPr>
      <w:b/>
      <w:bCs/>
      <w:sz w:val="22"/>
      <w:szCs w:val="22"/>
    </w:rPr>
  </w:style>
  <w:style w:type="character" w:styleId="Titre7Car" w:customStyle="1">
    <w:name w:val="Titre 7 Car"/>
    <w:basedOn w:val="Policepardfaut"/>
    <w:link w:val="Titre7"/>
    <w:uiPriority w:val="9"/>
    <w:semiHidden/>
    <w:rsid w:val="001B3490"/>
    <w:rPr>
      <w:rFonts w:asciiTheme="minorHAnsi" w:hAnsiTheme="minorHAnsi" w:eastAsiaTheme="minorEastAsia" w:cstheme="minorBidi"/>
      <w:sz w:val="24"/>
      <w:szCs w:val="24"/>
    </w:rPr>
  </w:style>
  <w:style w:type="character" w:styleId="Titre8Car" w:customStyle="1">
    <w:name w:val="Titre 8 Car"/>
    <w:basedOn w:val="Policepardfaut"/>
    <w:link w:val="Titre8"/>
    <w:uiPriority w:val="9"/>
    <w:semiHidden/>
    <w:rsid w:val="001B3490"/>
    <w:rPr>
      <w:rFonts w:asciiTheme="minorHAnsi" w:hAnsiTheme="minorHAnsi" w:eastAsiaTheme="minorEastAsia" w:cstheme="minorBidi"/>
      <w:i/>
      <w:iCs/>
      <w:sz w:val="24"/>
      <w:szCs w:val="24"/>
    </w:rPr>
  </w:style>
  <w:style w:type="character" w:styleId="Titre9Car" w:customStyle="1">
    <w:name w:val="Titre 9 Car"/>
    <w:basedOn w:val="Policepardfaut"/>
    <w:link w:val="Titre9"/>
    <w:uiPriority w:val="9"/>
    <w:semiHidden/>
    <w:rsid w:val="001B3490"/>
    <w:rPr>
      <w:rFonts w:asciiTheme="majorHAnsi" w:hAnsiTheme="majorHAnsi" w:eastAsiaTheme="majorEastAsia" w:cstheme="majorBidi"/>
      <w:sz w:val="22"/>
      <w:szCs w:val="22"/>
    </w:rPr>
  </w:style>
  <w:style w:type="paragraph" w:styleId="En-tte">
    <w:name w:val="header"/>
    <w:basedOn w:val="Normal"/>
    <w:link w:val="En-tteCar"/>
    <w:uiPriority w:val="99"/>
    <w:unhideWhenUsed/>
    <w:rsid w:val="00B7632E"/>
    <w:pPr>
      <w:tabs>
        <w:tab w:val="center" w:pos="4680"/>
        <w:tab w:val="right" w:pos="9360"/>
      </w:tabs>
    </w:pPr>
  </w:style>
  <w:style w:type="character" w:styleId="En-tteCar" w:customStyle="1">
    <w:name w:val="En-tête Car"/>
    <w:basedOn w:val="Policepardfaut"/>
    <w:link w:val="En-tte"/>
    <w:uiPriority w:val="99"/>
    <w:rsid w:val="00B7632E"/>
  </w:style>
  <w:style w:type="paragraph" w:styleId="Pieddepage">
    <w:name w:val="footer"/>
    <w:basedOn w:val="Normal"/>
    <w:link w:val="PieddepageCar"/>
    <w:uiPriority w:val="99"/>
    <w:unhideWhenUsed/>
    <w:rsid w:val="00B7632E"/>
    <w:pPr>
      <w:tabs>
        <w:tab w:val="center" w:pos="4680"/>
        <w:tab w:val="right" w:pos="9360"/>
      </w:tabs>
    </w:pPr>
  </w:style>
  <w:style w:type="character" w:styleId="PieddepageCar" w:customStyle="1">
    <w:name w:val="Pied de page Car"/>
    <w:basedOn w:val="Policepardfaut"/>
    <w:link w:val="Pieddepage"/>
    <w:uiPriority w:val="99"/>
    <w:rsid w:val="00B7632E"/>
  </w:style>
  <w:style w:type="paragraph" w:styleId="Paragraphedeliste">
    <w:name w:val="List Paragraph"/>
    <w:basedOn w:val="Normal"/>
    <w:uiPriority w:val="34"/>
    <w:qFormat/>
    <w:rsid w:val="003766B4"/>
    <w:pPr>
      <w:ind w:left="720"/>
      <w:contextualSpacing/>
    </w:pPr>
  </w:style>
  <w:style w:type="character" w:styleId="Lienhypertexte">
    <w:name w:val="Hyperlink"/>
    <w:basedOn w:val="Policepardfaut"/>
    <w:uiPriority w:val="99"/>
    <w:unhideWhenUsed/>
    <w:rsid w:val="008870F2"/>
    <w:rPr>
      <w:color w:val="0000FF" w:themeColor="hyperlink"/>
      <w:u w:val="single"/>
    </w:rPr>
  </w:style>
  <w:style w:type="character" w:styleId="Mentionnonrsolue">
    <w:name w:val="Unresolved Mention"/>
    <w:basedOn w:val="Policepardfaut"/>
    <w:uiPriority w:val="99"/>
    <w:semiHidden/>
    <w:unhideWhenUsed/>
    <w:rsid w:val="008870F2"/>
    <w:rPr>
      <w:color w:val="605E5C"/>
      <w:shd w:val="clear" w:color="auto" w:fill="E1DFDD"/>
    </w:rPr>
  </w:style>
  <w:style w:type="paragraph" w:styleId="Textedebulles">
    <w:name w:val="Balloon Text"/>
    <w:basedOn w:val="Normal"/>
    <w:link w:val="TextedebullesCar"/>
    <w:uiPriority w:val="99"/>
    <w:semiHidden/>
    <w:unhideWhenUsed/>
    <w:rsid w:val="0085041B"/>
    <w:rPr>
      <w:rFonts w:ascii="Segoe UI" w:hAnsi="Segoe UI" w:cs="Segoe UI"/>
      <w:sz w:val="18"/>
      <w:szCs w:val="18"/>
    </w:rPr>
  </w:style>
  <w:style w:type="character" w:styleId="TextedebullesCar" w:customStyle="1">
    <w:name w:val="Texte de bulles Car"/>
    <w:basedOn w:val="Policepardfaut"/>
    <w:link w:val="Textedebulles"/>
    <w:uiPriority w:val="99"/>
    <w:semiHidden/>
    <w:rsid w:val="0085041B"/>
    <w:rPr>
      <w:rFonts w:ascii="Segoe UI" w:hAnsi="Segoe UI" w:cs="Segoe UI"/>
      <w:sz w:val="18"/>
      <w:szCs w:val="18"/>
    </w:rPr>
  </w:style>
  <w:style w:type="character" w:styleId="Marquedecommentaire">
    <w:name w:val="annotation reference"/>
    <w:basedOn w:val="Policepardfaut"/>
    <w:uiPriority w:val="99"/>
    <w:semiHidden/>
    <w:unhideWhenUsed/>
    <w:rsid w:val="00106AC3"/>
    <w:rPr>
      <w:sz w:val="16"/>
      <w:szCs w:val="16"/>
    </w:rPr>
  </w:style>
  <w:style w:type="paragraph" w:styleId="Commentaire">
    <w:name w:val="annotation text"/>
    <w:basedOn w:val="Normal"/>
    <w:link w:val="CommentaireCar"/>
    <w:uiPriority w:val="99"/>
    <w:semiHidden/>
    <w:unhideWhenUsed/>
    <w:rsid w:val="00106AC3"/>
  </w:style>
  <w:style w:type="character" w:styleId="CommentaireCar" w:customStyle="1">
    <w:name w:val="Commentaire Car"/>
    <w:basedOn w:val="Policepardfaut"/>
    <w:link w:val="Commentaire"/>
    <w:uiPriority w:val="99"/>
    <w:semiHidden/>
    <w:rsid w:val="00106AC3"/>
  </w:style>
  <w:style w:type="paragraph" w:styleId="Objetducommentaire">
    <w:name w:val="annotation subject"/>
    <w:basedOn w:val="Commentaire"/>
    <w:next w:val="Commentaire"/>
    <w:link w:val="ObjetducommentaireCar"/>
    <w:uiPriority w:val="99"/>
    <w:semiHidden/>
    <w:unhideWhenUsed/>
    <w:rsid w:val="00106AC3"/>
    <w:rPr>
      <w:b/>
      <w:bCs/>
    </w:rPr>
  </w:style>
  <w:style w:type="character" w:styleId="ObjetducommentaireCar" w:customStyle="1">
    <w:name w:val="Objet du commentaire Car"/>
    <w:basedOn w:val="CommentaireCar"/>
    <w:link w:val="Objetducommentaire"/>
    <w:uiPriority w:val="99"/>
    <w:semiHidden/>
    <w:rsid w:val="00106AC3"/>
    <w:rPr>
      <w:b/>
      <w:bCs/>
    </w:rPr>
  </w:style>
  <w:style w:type="character" w:styleId="Lienhypertextesuivivisit">
    <w:name w:val="FollowedHyperlink"/>
    <w:basedOn w:val="Policepardfaut"/>
    <w:uiPriority w:val="99"/>
    <w:semiHidden/>
    <w:unhideWhenUsed/>
    <w:rsid w:val="00F86D6B"/>
    <w:rPr>
      <w:color w:val="800080" w:themeColor="followedHyperlink"/>
      <w:u w:val="single"/>
    </w:rPr>
  </w:style>
  <w:style w:type="table" w:styleId="Grilledutableau">
    <w:name w:val="Table Grid"/>
    <w:basedOn w:val="Tableau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Textedelespacerserv">
    <w:name w:val="Placeholder Text"/>
    <w:basedOn w:val="Policepardfaut"/>
    <w:uiPriority w:val="99"/>
    <w:semiHidden/>
    <w:rsid w:val="00757AF6"/>
    <w:rPr>
      <w:color w:val="808080"/>
    </w:rPr>
  </w:style>
  <w:style w:type="paragraph" w:styleId="paragraph" w:customStyle="1">
    <w:name w:val="paragraph"/>
    <w:basedOn w:val="Normal"/>
    <w:rsid w:val="000578AA"/>
    <w:pPr>
      <w:spacing w:before="100" w:beforeAutospacing="1" w:after="100" w:afterAutospacing="1"/>
    </w:pPr>
    <w:rPr>
      <w:sz w:val="24"/>
      <w:szCs w:val="24"/>
      <w:lang w:val="fr-FR" w:eastAsia="fr-FR"/>
    </w:rPr>
  </w:style>
  <w:style w:type="character" w:styleId="normaltextrun" w:customStyle="1">
    <w:name w:val="normaltextrun"/>
    <w:basedOn w:val="Policepardfaut"/>
    <w:rsid w:val="000578AA"/>
  </w:style>
  <w:style w:type="character" w:styleId="eop" w:customStyle="1">
    <w:name w:val="eop"/>
    <w:basedOn w:val="Policepardfaut"/>
    <w:rsid w:val="0005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5090">
      <w:bodyDiv w:val="1"/>
      <w:marLeft w:val="0"/>
      <w:marRight w:val="0"/>
      <w:marTop w:val="0"/>
      <w:marBottom w:val="0"/>
      <w:divBdr>
        <w:top w:val="none" w:sz="0" w:space="0" w:color="auto"/>
        <w:left w:val="none" w:sz="0" w:space="0" w:color="auto"/>
        <w:bottom w:val="none" w:sz="0" w:space="0" w:color="auto"/>
        <w:right w:val="none" w:sz="0" w:space="0" w:color="auto"/>
      </w:divBdr>
      <w:divsChild>
        <w:div w:id="945966294">
          <w:marLeft w:val="0"/>
          <w:marRight w:val="0"/>
          <w:marTop w:val="0"/>
          <w:marBottom w:val="0"/>
          <w:divBdr>
            <w:top w:val="none" w:sz="0" w:space="0" w:color="auto"/>
            <w:left w:val="none" w:sz="0" w:space="0" w:color="auto"/>
            <w:bottom w:val="none" w:sz="0" w:space="0" w:color="auto"/>
            <w:right w:val="none" w:sz="0" w:space="0" w:color="auto"/>
          </w:divBdr>
        </w:div>
        <w:div w:id="1102645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9/09/relationships/intelligence" Target="intelligence.xml" Id="R4cc984306e8e48f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81C2D08DBF46479EB00FD418CD62C4" ma:contentTypeVersion="16" ma:contentTypeDescription="Ein neues Dokument erstellen." ma:contentTypeScope="" ma:versionID="6fc3e80eb26714fffb2e2b7a5888dcb3">
  <xsd:schema xmlns:xsd="http://www.w3.org/2001/XMLSchema" xmlns:xs="http://www.w3.org/2001/XMLSchema" xmlns:p="http://schemas.microsoft.com/office/2006/metadata/properties" xmlns:ns2="dae77c8a-cfa5-478e-8f59-c5bbe94a0605" xmlns:ns3="a88a658c-523a-45d1-9d5f-cc9776b1af21" targetNamespace="http://schemas.microsoft.com/office/2006/metadata/properties" ma:root="true" ma:fieldsID="4c8ace7b2fa4dc183cfc62c9f1358124" ns2:_="" ns3:_="">
    <xsd:import namespace="dae77c8a-cfa5-478e-8f59-c5bbe94a0605"/>
    <xsd:import namespace="a88a658c-523a-45d1-9d5f-cc9776b1a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7c8a-cfa5-478e-8f59-c5bbe94a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a658c-523a-45d1-9d5f-cc9776b1af2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8f14866-2592-4a4b-bf11-90e918c04db9}" ma:internalName="TaxCatchAll" ma:showField="CatchAllData" ma:web="a88a658c-523a-45d1-9d5f-cc9776b1a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77c8a-cfa5-478e-8f59-c5bbe94a0605">
      <Terms xmlns="http://schemas.microsoft.com/office/infopath/2007/PartnerControls"/>
    </lcf76f155ced4ddcb4097134ff3c332f>
    <TaxCatchAll xmlns="a88a658c-523a-45d1-9d5f-cc9776b1af21" xsi:nil="true"/>
  </documentManagement>
</p:properties>
</file>

<file path=customXml/itemProps1.xml><?xml version="1.0" encoding="utf-8"?>
<ds:datastoreItem xmlns:ds="http://schemas.openxmlformats.org/officeDocument/2006/customXml" ds:itemID="{F8C66039-6A22-4C96-8077-69EE3E199DFE}">
  <ds:schemaRefs>
    <ds:schemaRef ds:uri="http://schemas.microsoft.com/sharepoint/v3/contenttype/forms"/>
  </ds:schemaRefs>
</ds:datastoreItem>
</file>

<file path=customXml/itemProps2.xml><?xml version="1.0" encoding="utf-8"?>
<ds:datastoreItem xmlns:ds="http://schemas.openxmlformats.org/officeDocument/2006/customXml" ds:itemID="{888FEA2E-6BF9-458B-A841-F21155A3DFD0}"/>
</file>

<file path=customXml/itemProps3.xml><?xml version="1.0" encoding="utf-8"?>
<ds:datastoreItem xmlns:ds="http://schemas.openxmlformats.org/officeDocument/2006/customXml" ds:itemID="{5C52A6D6-AA5A-46B2-A32A-CF9CB1DAFDDE}">
  <ds:schemaRefs>
    <ds:schemaRef ds:uri="http://schemas.openxmlformats.org/officeDocument/2006/bibliography"/>
  </ds:schemaRefs>
</ds:datastoreItem>
</file>

<file path=customXml/itemProps4.xml><?xml version="1.0" encoding="utf-8"?>
<ds:datastoreItem xmlns:ds="http://schemas.openxmlformats.org/officeDocument/2006/customXml" ds:itemID="{6275BAFB-8A6D-4126-87D3-811059D00557}">
  <ds:schemaRefs>
    <ds:schemaRef ds:uri="http://schemas.microsoft.com/office/2006/metadata/properties"/>
    <ds:schemaRef ds:uri="http://schemas.microsoft.com/office/infopath/2007/PartnerControls"/>
    <ds:schemaRef ds:uri="dae77c8a-cfa5-478e-8f59-c5bbe94a0605"/>
    <ds:schemaRef ds:uri="a88a658c-523a-45d1-9d5f-cc9776b1af2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UserNA1312</dc:creator>
  <cp:keywords/>
  <dc:description/>
  <cp:lastModifiedBy>Toffey, Valerie GIZ GH</cp:lastModifiedBy>
  <cp:revision>4</cp:revision>
  <dcterms:created xsi:type="dcterms:W3CDTF">2023-05-05T13:04:00Z</dcterms:created>
  <dcterms:modified xsi:type="dcterms:W3CDTF">2023-05-29T18:40:42Z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0x0101003381C2D08DBF46479EB00FD418CD62C4</vt:lpwstr>
  </property>
  <property fmtid="{D5CDD505-2E9C-101B-9397-08002B2CF9AE}" pid="3" name="MediaServiceImageTags">
    <vt:lpwstr/>
  </property>
  <property fmtid="{D5CDD505-2E9C-101B-9397-08002B2CF9AE}" pid="4" name="GrammarlyDocumentId">
    <vt:lpwstr>3b6244d0b250685b1e294972be825438cd0134a3cf02b64e730349a55457799d</vt:lpwstr>
  </property>
</Properties>
</file>