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1769" w14:textId="77777777" w:rsidR="000A6C14" w:rsidRPr="009163C4" w:rsidRDefault="000A6C14" w:rsidP="000A6C14">
      <w:pPr>
        <w:spacing w:after="0" w:line="240" w:lineRule="auto"/>
        <w:ind w:right="-738"/>
        <w:jc w:val="both"/>
        <w:rPr>
          <w:rFonts w:ascii="Arial" w:eastAsia="Arial" w:hAnsi="Arial" w:cs="Arial"/>
          <w:b/>
          <w:bCs/>
          <w:sz w:val="52"/>
          <w:szCs w:val="52"/>
          <w:lang w:val="fr-FR"/>
        </w:rPr>
      </w:pPr>
      <w:r w:rsidRPr="009163C4">
        <w:rPr>
          <w:rFonts w:ascii="Arial" w:hAnsi="Arial" w:cs="Arial"/>
          <w:b/>
          <w:bCs/>
          <w:sz w:val="52"/>
          <w:szCs w:val="52"/>
          <w:lang w:val="fr"/>
        </w:rPr>
        <w:t>Facilité d’Appui aux Entreprises pour des Chaînes de Valeur Agricoles Résilientes</w:t>
      </w:r>
    </w:p>
    <w:p w14:paraId="5DCBD3C3" w14:textId="77777777" w:rsidR="000A6C14" w:rsidRPr="009163C4" w:rsidRDefault="000A6C14" w:rsidP="000A6C14">
      <w:pPr>
        <w:jc w:val="both"/>
        <w:rPr>
          <w:rFonts w:ascii="Arial" w:eastAsia="Arial" w:hAnsi="Arial" w:cs="Arial"/>
          <w:b/>
          <w:bCs/>
          <w:sz w:val="24"/>
          <w:szCs w:val="24"/>
          <w:lang w:val="fr-FR"/>
        </w:rPr>
      </w:pPr>
    </w:p>
    <w:p w14:paraId="6F87B7A7" w14:textId="77777777" w:rsidR="000A6C14" w:rsidRPr="00904D17" w:rsidRDefault="000A6C14" w:rsidP="000A6C14">
      <w:pPr>
        <w:jc w:val="both"/>
        <w:rPr>
          <w:rFonts w:ascii="Arial" w:eastAsia="Arial" w:hAnsi="Arial" w:cs="Arial"/>
          <w:sz w:val="52"/>
          <w:szCs w:val="52"/>
          <w:vertAlign w:val="subscript"/>
          <w:lang w:val="fr-FR"/>
        </w:rPr>
      </w:pPr>
      <w:r w:rsidRPr="00904D17">
        <w:rPr>
          <w:rFonts w:ascii="Arial" w:hAnsi="Arial" w:cs="Arial"/>
          <w:b/>
          <w:bCs/>
          <w:sz w:val="52"/>
          <w:szCs w:val="52"/>
          <w:lang w:val="fr"/>
        </w:rPr>
        <w:t>Directives de l'appel à proposition</w:t>
      </w:r>
    </w:p>
    <w:p w14:paraId="449D7D60" w14:textId="77777777" w:rsidR="000A6C14" w:rsidRPr="005F35BF" w:rsidRDefault="000A6C14" w:rsidP="000A6C14">
      <w:pPr>
        <w:jc w:val="both"/>
        <w:rPr>
          <w:rFonts w:ascii="Arial" w:eastAsia="Arial" w:hAnsi="Arial" w:cs="Arial"/>
          <w:sz w:val="52"/>
          <w:szCs w:val="52"/>
          <w:vertAlign w:val="subscript"/>
          <w:lang w:val="fr-FR"/>
        </w:rPr>
      </w:pPr>
    </w:p>
    <w:p w14:paraId="68DFA184" w14:textId="77777777" w:rsidR="000A6C14" w:rsidRPr="005F35BF" w:rsidRDefault="000A6C14" w:rsidP="000A6C14">
      <w:pPr>
        <w:jc w:val="both"/>
        <w:rPr>
          <w:rFonts w:ascii="Arial" w:hAnsi="Arial" w:cs="Arial"/>
          <w:color w:val="C00000"/>
          <w:sz w:val="52"/>
          <w:szCs w:val="52"/>
        </w:rPr>
      </w:pPr>
      <w:r w:rsidRPr="005F35BF">
        <w:rPr>
          <w:rFonts w:ascii="Arial" w:hAnsi="Arial" w:cs="Arial"/>
          <w:sz w:val="52"/>
          <w:szCs w:val="52"/>
          <w:lang w:val="fr"/>
        </w:rPr>
        <w:t>Fonds de contrepartie compétitif pour le cajou Appel à proposition 1</w:t>
      </w:r>
    </w:p>
    <w:p w14:paraId="66443664"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color w:val="000000"/>
          <w:kern w:val="0"/>
          <w:sz w:val="24"/>
          <w:szCs w:val="24"/>
          <w:lang w:eastAsia="fr-CI"/>
          <w14:ligatures w14:val="none"/>
        </w:rPr>
        <w:t> </w:t>
      </w:r>
    </w:p>
    <w:p w14:paraId="61E79AAE" w14:textId="77777777" w:rsidR="000A6C14" w:rsidRPr="00E60558" w:rsidRDefault="000A6C14" w:rsidP="000A6C14">
      <w:pPr>
        <w:spacing w:after="0" w:line="240" w:lineRule="auto"/>
        <w:jc w:val="both"/>
        <w:textAlignment w:val="baseline"/>
        <w:rPr>
          <w:rFonts w:ascii="Arial" w:eastAsia="Times New Roman" w:hAnsi="Arial" w:cs="Arial"/>
          <w:kern w:val="0"/>
          <w:sz w:val="40"/>
          <w:szCs w:val="40"/>
          <w:lang w:eastAsia="fr-CI"/>
          <w14:ligatures w14:val="none"/>
        </w:rPr>
      </w:pPr>
      <w:r w:rsidRPr="00E60558">
        <w:rPr>
          <w:rFonts w:ascii="Arial" w:hAnsi="Arial" w:cs="Arial"/>
          <w:color w:val="000000"/>
          <w:kern w:val="0"/>
          <w:sz w:val="40"/>
          <w:szCs w:val="40"/>
          <w:lang w:val="fr" w:eastAsia="fr-CI"/>
          <w14:ligatures w14:val="none"/>
        </w:rPr>
        <w:t>Mai 2023</w:t>
      </w:r>
    </w:p>
    <w:p w14:paraId="0D25E4D3"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01C81D71"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751E20A9"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1FD7DE79"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377E81BA"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0B439823"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3B3028D8"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419BADCD"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0C676851"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7619B2E8"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52F1530F"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0F0C4C21"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65D1541F"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2A9503B4"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31BBCD15"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0CB77D6B"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76531CBA"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6D8207E0"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30750367"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141056F8"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51E525AF"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5EE39040"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5B21D3BF"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3BC520D3"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148921B6"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BDEFB89"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464AE5A" w14:textId="77777777" w:rsidR="000A6C14" w:rsidRPr="009163C4" w:rsidRDefault="000A6C14" w:rsidP="000A6C14">
      <w:pPr>
        <w:spacing w:after="0" w:line="240" w:lineRule="auto"/>
        <w:ind w:left="120"/>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color w:val="808080"/>
          <w:kern w:val="0"/>
          <w:sz w:val="24"/>
          <w:szCs w:val="24"/>
          <w:lang w:eastAsia="fr-CI"/>
          <w14:ligatures w14:val="none"/>
        </w:rPr>
        <w:t> </w:t>
      </w:r>
    </w:p>
    <w:p w14:paraId="0581AF01" w14:textId="77777777" w:rsidR="000A6C14" w:rsidRDefault="000A6C14" w:rsidP="000A6C14">
      <w:pPr>
        <w:spacing w:after="0" w:line="240" w:lineRule="auto"/>
        <w:ind w:left="120"/>
        <w:jc w:val="both"/>
        <w:textAlignment w:val="baseline"/>
        <w:rPr>
          <w:rFonts w:ascii="Arial" w:hAnsi="Arial" w:cs="Arial"/>
          <w:b/>
          <w:bCs/>
          <w:color w:val="808080"/>
          <w:kern w:val="0"/>
          <w:sz w:val="24"/>
          <w:szCs w:val="24"/>
          <w:lang w:val="fr" w:eastAsia="fr-CI"/>
          <w14:ligatures w14:val="none"/>
        </w:rPr>
      </w:pPr>
    </w:p>
    <w:p w14:paraId="5B2379F3" w14:textId="77777777" w:rsidR="000A6C14" w:rsidRPr="009163C4" w:rsidRDefault="000A6C14" w:rsidP="000A6C14">
      <w:pPr>
        <w:spacing w:after="0" w:line="240" w:lineRule="auto"/>
        <w:ind w:left="120"/>
        <w:jc w:val="both"/>
        <w:textAlignment w:val="baseline"/>
        <w:rPr>
          <w:rFonts w:ascii="Arial" w:eastAsia="Times New Roman" w:hAnsi="Arial" w:cs="Arial"/>
          <w:kern w:val="0"/>
          <w:sz w:val="24"/>
          <w:szCs w:val="24"/>
          <w:lang w:eastAsia="fr-CI"/>
          <w14:ligatures w14:val="none"/>
        </w:rPr>
      </w:pPr>
      <w:r w:rsidRPr="009163C4">
        <w:rPr>
          <w:rFonts w:ascii="Arial" w:hAnsi="Arial" w:cs="Arial"/>
          <w:b/>
          <w:bCs/>
          <w:color w:val="808080"/>
          <w:kern w:val="0"/>
          <w:sz w:val="24"/>
          <w:szCs w:val="24"/>
          <w:lang w:val="fr" w:eastAsia="fr-CI"/>
          <w14:ligatures w14:val="none"/>
        </w:rPr>
        <w:lastRenderedPageBreak/>
        <w:t>Table des matières</w:t>
      </w:r>
    </w:p>
    <w:p w14:paraId="7B0A4F24" w14:textId="77777777" w:rsidR="000A6C14" w:rsidRDefault="000A6C14" w:rsidP="000A6C14">
      <w:pPr>
        <w:spacing w:after="0" w:line="240" w:lineRule="auto"/>
        <w:textAlignment w:val="baseline"/>
        <w:rPr>
          <w:rFonts w:ascii="Arial" w:hAnsi="Arial" w:cs="Arial"/>
          <w:sz w:val="24"/>
          <w:szCs w:val="24"/>
        </w:rPr>
      </w:pPr>
      <w:r>
        <w:rPr>
          <w:rFonts w:ascii="Arial" w:hAnsi="Arial" w:cs="Arial"/>
          <w:sz w:val="24"/>
          <w:szCs w:val="24"/>
        </w:rPr>
        <w:t xml:space="preserve"> </w:t>
      </w:r>
    </w:p>
    <w:p w14:paraId="558B1F8C" w14:textId="77777777" w:rsidR="000A6C14" w:rsidRPr="007459A4"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10" w:tgtFrame="_blank" w:history="1">
        <w:r w:rsidRPr="004B61A7">
          <w:rPr>
            <w:rFonts w:ascii="Arial" w:hAnsi="Arial" w:cs="Arial"/>
            <w:color w:val="000000" w:themeColor="text1"/>
            <w:kern w:val="0"/>
            <w:sz w:val="24"/>
            <w:szCs w:val="24"/>
            <w:lang w:val="fr" w:eastAsia="fr-CI"/>
            <w14:ligatures w14:val="none"/>
          </w:rPr>
          <w:t>Liste des abréviations</w:t>
        </w:r>
      </w:hyperlink>
      <w:hyperlink r:id="rId11" w:tgtFrame="_blank" w:history="1">
        <w:r w:rsidRPr="007459A4">
          <w:rPr>
            <w:rFonts w:ascii="Arial" w:hAnsi="Arial" w:cs="Arial"/>
            <w:color w:val="000000" w:themeColor="text1"/>
            <w:kern w:val="0"/>
            <w:sz w:val="24"/>
            <w:szCs w:val="24"/>
            <w:lang w:val="fr" w:eastAsia="fr-CI"/>
            <w14:ligatures w14:val="none"/>
          </w:rPr>
          <w:t xml:space="preserve"> </w:t>
        </w:r>
        <w:r>
          <w:rPr>
            <w:rFonts w:ascii="Arial" w:hAnsi="Arial" w:cs="Arial"/>
            <w:color w:val="000000" w:themeColor="text1"/>
            <w:kern w:val="0"/>
            <w:sz w:val="24"/>
            <w:szCs w:val="24"/>
            <w:lang w:val="fr" w:eastAsia="fr-CI"/>
            <w14:ligatures w14:val="none"/>
          </w:rPr>
          <w:t>………………………………………………………………………</w:t>
        </w:r>
        <w:r w:rsidRPr="007459A4">
          <w:rPr>
            <w:rFonts w:ascii="Arial" w:hAnsi="Arial" w:cs="Arial"/>
            <w:color w:val="000000" w:themeColor="text1"/>
            <w:kern w:val="0"/>
            <w:sz w:val="24"/>
            <w:szCs w:val="24"/>
            <w:lang w:val="fr" w:eastAsia="fr-CI"/>
            <w14:ligatures w14:val="none"/>
          </w:rPr>
          <w:t>3</w:t>
        </w:r>
      </w:hyperlink>
    </w:p>
    <w:p w14:paraId="55462748" w14:textId="77777777" w:rsidR="000A6C14" w:rsidRPr="007459A4"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12" w:tgtFrame="_blank" w:history="1">
        <w:r w:rsidRPr="004B61A7">
          <w:rPr>
            <w:rFonts w:ascii="Arial" w:hAnsi="Arial" w:cs="Arial"/>
            <w:color w:val="000000" w:themeColor="text1"/>
            <w:kern w:val="0"/>
            <w:sz w:val="24"/>
            <w:szCs w:val="24"/>
            <w:lang w:val="fr" w:eastAsia="fr-CI"/>
            <w14:ligatures w14:val="none"/>
          </w:rPr>
          <w:t>Section 1 : Introduction</w:t>
        </w:r>
      </w:hyperlink>
      <w:r w:rsidRPr="007459A4">
        <w:rPr>
          <w:rFonts w:ascii="Arial" w:hAnsi="Arial" w:cs="Arial"/>
          <w:color w:val="000000" w:themeColor="text1"/>
          <w:kern w:val="0"/>
          <w:sz w:val="24"/>
          <w:szCs w:val="24"/>
          <w:lang w:val="fr" w:eastAsia="fr-CI"/>
          <w14:ligatures w14:val="none"/>
        </w:rPr>
        <w:t xml:space="preserve"> </w:t>
      </w:r>
      <w:r>
        <w:rPr>
          <w:rFonts w:ascii="Arial" w:hAnsi="Arial" w:cs="Arial"/>
          <w:color w:val="000000" w:themeColor="text1"/>
          <w:kern w:val="0"/>
          <w:sz w:val="24"/>
          <w:szCs w:val="24"/>
          <w:lang w:val="fr" w:eastAsia="fr-CI"/>
          <w14:ligatures w14:val="none"/>
        </w:rPr>
        <w:t>………………………………………………………………</w:t>
      </w:r>
      <w:proofErr w:type="gramStart"/>
      <w:r>
        <w:rPr>
          <w:rFonts w:ascii="Arial" w:hAnsi="Arial" w:cs="Arial"/>
          <w:color w:val="000000" w:themeColor="text1"/>
          <w:kern w:val="0"/>
          <w:sz w:val="24"/>
          <w:szCs w:val="24"/>
          <w:lang w:val="fr" w:eastAsia="fr-CI"/>
          <w14:ligatures w14:val="none"/>
        </w:rPr>
        <w:t>…….</w:t>
      </w:r>
      <w:proofErr w:type="gramEnd"/>
      <w:r>
        <w:rPr>
          <w:rFonts w:ascii="Arial" w:hAnsi="Arial" w:cs="Arial"/>
          <w:color w:val="000000" w:themeColor="text1"/>
          <w:kern w:val="0"/>
          <w:sz w:val="24"/>
          <w:szCs w:val="24"/>
          <w:lang w:val="fr" w:eastAsia="fr-CI"/>
          <w14:ligatures w14:val="none"/>
        </w:rPr>
        <w:t>.</w:t>
      </w:r>
      <w:r>
        <w:rPr>
          <w:rFonts w:ascii="Arial" w:hAnsi="Arial" w:cs="Arial"/>
          <w:color w:val="000000" w:themeColor="text1"/>
          <w:sz w:val="24"/>
          <w:szCs w:val="24"/>
        </w:rPr>
        <w:t>5</w:t>
      </w:r>
    </w:p>
    <w:p w14:paraId="7F5DE4CC" w14:textId="77777777" w:rsidR="000A6C14" w:rsidRPr="003C32AF" w:rsidRDefault="000A6C14" w:rsidP="000A6C14">
      <w:pPr>
        <w:spacing w:after="0" w:line="240" w:lineRule="auto"/>
        <w:textAlignment w:val="baseline"/>
        <w:rPr>
          <w:rFonts w:ascii="Arial" w:hAnsi="Arial" w:cs="Arial"/>
          <w:color w:val="000000" w:themeColor="text1"/>
          <w:kern w:val="0"/>
          <w:sz w:val="24"/>
          <w:szCs w:val="24"/>
          <w:lang w:val="fr" w:eastAsia="fr-CI"/>
          <w14:ligatures w14:val="none"/>
        </w:rPr>
      </w:pPr>
      <w:r w:rsidRPr="004B61A7">
        <w:rPr>
          <w:rFonts w:ascii="Arial" w:hAnsi="Arial" w:cs="Arial"/>
          <w:color w:val="000000" w:themeColor="text1"/>
          <w:kern w:val="0"/>
          <w:sz w:val="24"/>
          <w:szCs w:val="24"/>
          <w:lang w:val="fr" w:eastAsia="fr-CI"/>
          <w14:ligatures w14:val="none"/>
        </w:rPr>
        <w:t xml:space="preserve">Section 2 : Aperçu du Fonds de contrepartie </w:t>
      </w:r>
      <w:r>
        <w:rPr>
          <w:rFonts w:ascii="Arial" w:hAnsi="Arial" w:cs="Arial"/>
          <w:color w:val="000000" w:themeColor="text1"/>
          <w:kern w:val="0"/>
          <w:sz w:val="24"/>
          <w:szCs w:val="24"/>
          <w:lang w:val="fr" w:eastAsia="fr-CI"/>
          <w14:ligatures w14:val="none"/>
        </w:rPr>
        <w:t xml:space="preserve">compétitif </w:t>
      </w:r>
      <w:r w:rsidRPr="004B61A7">
        <w:rPr>
          <w:rFonts w:ascii="Arial" w:hAnsi="Arial" w:cs="Arial"/>
          <w:color w:val="000000" w:themeColor="text1"/>
          <w:kern w:val="0"/>
          <w:sz w:val="24"/>
          <w:szCs w:val="24"/>
          <w:lang w:val="fr" w:eastAsia="fr-CI"/>
          <w14:ligatures w14:val="none"/>
        </w:rPr>
        <w:t>(MGF)…………………</w:t>
      </w:r>
      <w:proofErr w:type="gramStart"/>
      <w:r>
        <w:rPr>
          <w:rFonts w:ascii="Arial" w:hAnsi="Arial" w:cs="Arial"/>
          <w:color w:val="000000" w:themeColor="text1"/>
          <w:kern w:val="0"/>
          <w:sz w:val="24"/>
          <w:szCs w:val="24"/>
          <w:lang w:val="fr" w:eastAsia="fr-CI"/>
          <w14:ligatures w14:val="none"/>
        </w:rPr>
        <w:t>…….</w:t>
      </w:r>
      <w:proofErr w:type="gramEnd"/>
      <w:r>
        <w:rPr>
          <w:rFonts w:ascii="Arial" w:hAnsi="Arial" w:cs="Arial"/>
          <w:color w:val="000000" w:themeColor="text1"/>
          <w:kern w:val="0"/>
          <w:sz w:val="24"/>
          <w:szCs w:val="24"/>
          <w:lang w:val="fr" w:eastAsia="fr-CI"/>
          <w14:ligatures w14:val="none"/>
        </w:rPr>
        <w:t>.</w:t>
      </w:r>
      <w:r w:rsidRPr="004B61A7">
        <w:rPr>
          <w:rFonts w:ascii="Arial" w:hAnsi="Arial" w:cs="Arial"/>
          <w:color w:val="000000" w:themeColor="text1"/>
          <w:sz w:val="24"/>
          <w:szCs w:val="24"/>
        </w:rPr>
        <w:t>6</w:t>
      </w:r>
    </w:p>
    <w:p w14:paraId="501F58AD" w14:textId="77777777" w:rsidR="000A6C14" w:rsidRPr="003C32AF" w:rsidRDefault="000A6C14" w:rsidP="000A6C14">
      <w:pPr>
        <w:spacing w:after="0" w:line="240" w:lineRule="auto"/>
        <w:textAlignment w:val="baseline"/>
        <w:rPr>
          <w:rFonts w:ascii="Arial" w:eastAsia="Times New Roman" w:hAnsi="Arial" w:cs="Arial"/>
          <w:color w:val="000000" w:themeColor="text1"/>
          <w:kern w:val="0"/>
          <w:sz w:val="24"/>
          <w:szCs w:val="24"/>
          <w:lang w:val="fr" w:eastAsia="fr-CI"/>
          <w14:ligatures w14:val="none"/>
        </w:rPr>
      </w:pPr>
      <w:r>
        <w:rPr>
          <w:rFonts w:ascii="Arial" w:eastAsia="Times New Roman" w:hAnsi="Arial" w:cs="Arial"/>
          <w:color w:val="000000" w:themeColor="text1"/>
          <w:kern w:val="0"/>
          <w:sz w:val="24"/>
          <w:szCs w:val="24"/>
          <w:lang w:val="fr" w:eastAsia="fr-CI"/>
          <w14:ligatures w14:val="none"/>
        </w:rPr>
        <w:t>Section 3 : Contexte …………………………………………………………………</w:t>
      </w:r>
      <w:proofErr w:type="gramStart"/>
      <w:r>
        <w:rPr>
          <w:rFonts w:ascii="Arial" w:eastAsia="Times New Roman" w:hAnsi="Arial" w:cs="Arial"/>
          <w:color w:val="000000" w:themeColor="text1"/>
          <w:kern w:val="0"/>
          <w:sz w:val="24"/>
          <w:szCs w:val="24"/>
          <w:lang w:val="fr" w:eastAsia="fr-CI"/>
          <w14:ligatures w14:val="none"/>
        </w:rPr>
        <w:t>…….</w:t>
      </w:r>
      <w:proofErr w:type="gramEnd"/>
      <w:r>
        <w:rPr>
          <w:rFonts w:ascii="Arial" w:eastAsia="Times New Roman" w:hAnsi="Arial" w:cs="Arial"/>
          <w:color w:val="000000" w:themeColor="text1"/>
          <w:kern w:val="0"/>
          <w:sz w:val="24"/>
          <w:szCs w:val="24"/>
          <w:lang w:val="fr" w:eastAsia="fr-CI"/>
          <w14:ligatures w14:val="none"/>
        </w:rPr>
        <w:t>10</w:t>
      </w:r>
    </w:p>
    <w:p w14:paraId="5D99B458" w14:textId="77777777" w:rsidR="000A6C14" w:rsidRPr="00234E29"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r>
        <w:rPr>
          <w:rFonts w:ascii="Arial" w:hAnsi="Arial" w:cs="Arial"/>
          <w:color w:val="000000" w:themeColor="text1"/>
          <w:sz w:val="24"/>
          <w:szCs w:val="24"/>
          <w:lang w:val="fr"/>
        </w:rPr>
        <w:t>Projet</w:t>
      </w:r>
      <w:hyperlink r:id="rId13" w:tgtFrame="_blank" w:history="1">
        <w:r w:rsidRPr="00234E29">
          <w:rPr>
            <w:rFonts w:ascii="Arial" w:hAnsi="Arial" w:cs="Arial"/>
            <w:color w:val="000000" w:themeColor="text1"/>
            <w:kern w:val="0"/>
            <w:sz w:val="24"/>
            <w:szCs w:val="24"/>
            <w:lang w:val="fr" w:eastAsia="fr-CI"/>
            <w14:ligatures w14:val="none"/>
          </w:rPr>
          <w:t xml:space="preserve"> Facilité d’Appui aux Entreprises pour des Chaînes de</w:t>
        </w:r>
      </w:hyperlink>
      <w:hyperlink r:id="rId14" w:tgtFrame="_blank" w:history="1">
        <w:r w:rsidRPr="00234E29">
          <w:rPr>
            <w:rFonts w:ascii="Arial" w:hAnsi="Arial" w:cs="Arial"/>
            <w:color w:val="000000" w:themeColor="text1"/>
            <w:kern w:val="0"/>
            <w:sz w:val="24"/>
            <w:szCs w:val="24"/>
            <w:lang w:val="fr" w:eastAsia="fr-CI"/>
            <w14:ligatures w14:val="none"/>
          </w:rPr>
          <w:t xml:space="preserve"> </w:t>
        </w:r>
      </w:hyperlink>
      <w:r w:rsidRPr="00234E29">
        <w:rPr>
          <w:rFonts w:ascii="Arial" w:hAnsi="Arial" w:cs="Arial"/>
          <w:color w:val="000000" w:themeColor="text1"/>
          <w:kern w:val="0"/>
          <w:sz w:val="24"/>
          <w:szCs w:val="24"/>
          <w:lang w:val="fr" w:eastAsia="fr-CI"/>
          <w14:ligatures w14:val="none"/>
        </w:rPr>
        <w:t xml:space="preserve"> Valeur Agricoles</w:t>
      </w:r>
      <w:r>
        <w:rPr>
          <w:rFonts w:ascii="Arial" w:hAnsi="Arial" w:cs="Arial"/>
          <w:color w:val="000000" w:themeColor="text1"/>
          <w:kern w:val="0"/>
          <w:sz w:val="24"/>
          <w:szCs w:val="24"/>
          <w:lang w:val="fr" w:eastAsia="fr-CI"/>
          <w14:ligatures w14:val="none"/>
        </w:rPr>
        <w:t xml:space="preserve"> </w:t>
      </w:r>
      <w:r w:rsidRPr="00234E29">
        <w:rPr>
          <w:rFonts w:ascii="Arial" w:hAnsi="Arial" w:cs="Arial"/>
          <w:color w:val="000000" w:themeColor="text1"/>
          <w:kern w:val="0"/>
          <w:sz w:val="24"/>
          <w:szCs w:val="24"/>
          <w:lang w:val="fr" w:eastAsia="fr-CI"/>
          <w14:ligatures w14:val="none"/>
        </w:rPr>
        <w:t>Résilientes</w:t>
      </w:r>
      <w:r>
        <w:rPr>
          <w:rFonts w:ascii="Arial" w:hAnsi="Arial" w:cs="Arial"/>
          <w:color w:val="000000" w:themeColor="text1"/>
          <w:sz w:val="24"/>
          <w:szCs w:val="24"/>
          <w:lang w:val="fr"/>
        </w:rPr>
        <w:t>…………………………………………………………………………………..10</w:t>
      </w:r>
    </w:p>
    <w:p w14:paraId="6CA88974" w14:textId="77777777" w:rsidR="000A6C14" w:rsidRPr="00195544"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15" w:tgtFrame="_blank" w:history="1">
        <w:r w:rsidRPr="00195544">
          <w:rPr>
            <w:rFonts w:ascii="Arial" w:hAnsi="Arial" w:cs="Arial"/>
            <w:color w:val="000000" w:themeColor="text1"/>
            <w:kern w:val="0"/>
            <w:sz w:val="24"/>
            <w:szCs w:val="24"/>
            <w:lang w:val="fr" w:eastAsia="fr-CI"/>
            <w14:ligatures w14:val="none"/>
          </w:rPr>
          <w:t>L’initiative MOVE pour la noix de cajou compétitive (MOVE-ComCashew)</w:t>
        </w:r>
      </w:hyperlink>
      <w:r w:rsidRPr="00195544">
        <w:rPr>
          <w:rFonts w:ascii="Arial" w:hAnsi="Arial" w:cs="Arial"/>
          <w:color w:val="000000" w:themeColor="text1"/>
          <w:kern w:val="0"/>
          <w:sz w:val="24"/>
          <w:szCs w:val="24"/>
          <w:lang w:val="fr" w:eastAsia="fr-CI"/>
          <w14:ligatures w14:val="none"/>
        </w:rPr>
        <w:t>…………10</w:t>
      </w:r>
    </w:p>
    <w:p w14:paraId="18AE2027"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hyperlink r:id="rId16" w:tgtFrame="_blank" w:history="1">
        <w:r w:rsidRPr="002F651C">
          <w:rPr>
            <w:rFonts w:ascii="Arial" w:hAnsi="Arial" w:cs="Arial"/>
            <w:color w:val="000000" w:themeColor="text1"/>
            <w:kern w:val="0"/>
            <w:sz w:val="24"/>
            <w:szCs w:val="24"/>
            <w:lang w:val="fr" w:eastAsia="fr-CI"/>
            <w14:ligatures w14:val="none"/>
          </w:rPr>
          <w:t>Fonds de contrepartie</w:t>
        </w:r>
      </w:hyperlink>
      <w:r>
        <w:rPr>
          <w:rFonts w:ascii="Arial" w:hAnsi="Arial" w:cs="Arial"/>
          <w:color w:val="000000" w:themeColor="text1"/>
          <w:kern w:val="0"/>
          <w:sz w:val="24"/>
          <w:szCs w:val="24"/>
          <w:lang w:val="fr" w:eastAsia="fr-CI"/>
          <w14:ligatures w14:val="none"/>
        </w:rPr>
        <w:t>……………………………………………………………………...11</w:t>
      </w:r>
      <w:r w:rsidRPr="009163C4">
        <w:rPr>
          <w:rFonts w:ascii="Arial" w:hAnsi="Arial" w:cs="Arial"/>
          <w:color w:val="0563C1"/>
          <w:kern w:val="0"/>
          <w:sz w:val="24"/>
          <w:szCs w:val="24"/>
          <w:lang w:val="fr" w:eastAsia="fr-CI"/>
          <w14:ligatures w14:val="none"/>
        </w:rPr>
        <w:t xml:space="preserve">  </w:t>
      </w:r>
    </w:p>
    <w:p w14:paraId="6B143921"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hyperlink r:id="rId17" w:tgtFrame="_blank" w:history="1">
        <w:r w:rsidRPr="00AA2E68">
          <w:rPr>
            <w:rFonts w:ascii="Arial" w:hAnsi="Arial" w:cs="Arial"/>
            <w:color w:val="000000" w:themeColor="text1"/>
            <w:kern w:val="0"/>
            <w:sz w:val="24"/>
            <w:szCs w:val="24"/>
            <w:lang w:val="fr" w:eastAsia="fr-CI"/>
            <w14:ligatures w14:val="none"/>
          </w:rPr>
          <w:t xml:space="preserve">Section </w:t>
        </w:r>
        <w:r>
          <w:rPr>
            <w:rFonts w:ascii="Arial" w:hAnsi="Arial" w:cs="Arial"/>
            <w:color w:val="000000" w:themeColor="text1"/>
            <w:kern w:val="0"/>
            <w:sz w:val="24"/>
            <w:szCs w:val="24"/>
            <w:lang w:val="fr" w:eastAsia="fr-CI"/>
            <w14:ligatures w14:val="none"/>
          </w:rPr>
          <w:t>4</w:t>
        </w:r>
        <w:r w:rsidRPr="00AA2E68">
          <w:rPr>
            <w:rFonts w:ascii="Arial" w:hAnsi="Arial" w:cs="Arial"/>
            <w:color w:val="000000" w:themeColor="text1"/>
            <w:kern w:val="0"/>
            <w:sz w:val="24"/>
            <w:szCs w:val="24"/>
            <w:lang w:val="fr" w:eastAsia="fr-CI"/>
            <w14:ligatures w14:val="none"/>
          </w:rPr>
          <w:t xml:space="preserve"> : Directrices pour les demandes de fonds de contrepartie</w:t>
        </w:r>
      </w:hyperlink>
      <w:r>
        <w:rPr>
          <w:rFonts w:ascii="Arial" w:hAnsi="Arial" w:cs="Arial"/>
          <w:color w:val="000000" w:themeColor="text1"/>
          <w:kern w:val="0"/>
          <w:sz w:val="24"/>
          <w:szCs w:val="24"/>
          <w:lang w:val="fr" w:eastAsia="fr-CI"/>
          <w14:ligatures w14:val="none"/>
        </w:rPr>
        <w:t>…………………12</w:t>
      </w:r>
      <w:r w:rsidRPr="009163C4">
        <w:rPr>
          <w:rFonts w:ascii="Arial" w:hAnsi="Arial" w:cs="Arial"/>
          <w:sz w:val="24"/>
          <w:szCs w:val="24"/>
        </w:rPr>
        <w:t xml:space="preserve"> </w:t>
      </w:r>
    </w:p>
    <w:p w14:paraId="01E09357" w14:textId="77777777" w:rsidR="000A6C14" w:rsidRPr="000D0A04"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18" w:tgtFrame="_blank" w:history="1">
        <w:r w:rsidRPr="000D0A04">
          <w:rPr>
            <w:rFonts w:ascii="Arial" w:hAnsi="Arial" w:cs="Arial"/>
            <w:color w:val="000000" w:themeColor="text1"/>
            <w:kern w:val="0"/>
            <w:sz w:val="24"/>
            <w:szCs w:val="24"/>
            <w:lang w:val="fr" w:eastAsia="fr-CI"/>
            <w14:ligatures w14:val="none"/>
          </w:rPr>
          <w:t xml:space="preserve">Objectif du </w:t>
        </w:r>
        <w:hyperlink r:id="rId19" w:tgtFrame="_blank" w:history="1">
          <w:r w:rsidRPr="002F651C">
            <w:rPr>
              <w:rFonts w:ascii="Arial" w:hAnsi="Arial" w:cs="Arial"/>
              <w:color w:val="000000" w:themeColor="text1"/>
              <w:kern w:val="0"/>
              <w:sz w:val="24"/>
              <w:szCs w:val="24"/>
              <w:lang w:val="fr" w:eastAsia="fr-CI"/>
              <w14:ligatures w14:val="none"/>
            </w:rPr>
            <w:t>Fonds de contrepartie</w:t>
          </w:r>
        </w:hyperlink>
        <w:r>
          <w:rPr>
            <w:rFonts w:ascii="Arial" w:hAnsi="Arial" w:cs="Arial"/>
            <w:color w:val="000000" w:themeColor="text1"/>
            <w:kern w:val="0"/>
            <w:sz w:val="24"/>
            <w:szCs w:val="24"/>
            <w:lang w:val="fr" w:eastAsia="fr-CI"/>
            <w14:ligatures w14:val="none"/>
          </w:rPr>
          <w:t xml:space="preserve"> </w:t>
        </w:r>
        <w:r w:rsidRPr="000D0A04">
          <w:rPr>
            <w:rFonts w:ascii="Arial" w:hAnsi="Arial" w:cs="Arial"/>
            <w:color w:val="000000" w:themeColor="text1"/>
            <w:kern w:val="0"/>
            <w:sz w:val="24"/>
            <w:szCs w:val="24"/>
            <w:lang w:val="fr" w:eastAsia="fr-CI"/>
            <w14:ligatures w14:val="none"/>
          </w:rPr>
          <w:t>MGF</w:t>
        </w:r>
      </w:hyperlink>
      <w:r>
        <w:rPr>
          <w:rFonts w:ascii="Arial" w:hAnsi="Arial" w:cs="Arial"/>
          <w:color w:val="000000" w:themeColor="text1"/>
          <w:sz w:val="24"/>
          <w:szCs w:val="24"/>
        </w:rPr>
        <w:t>……………………………………………</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12</w:t>
      </w:r>
    </w:p>
    <w:p w14:paraId="1F8116E5" w14:textId="77777777" w:rsidR="000A6C14" w:rsidRPr="00456953"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r w:rsidRPr="00456953">
        <w:rPr>
          <w:rFonts w:ascii="Arial" w:hAnsi="Arial" w:cs="Arial"/>
          <w:color w:val="000000" w:themeColor="text1"/>
          <w:kern w:val="0"/>
          <w:sz w:val="24"/>
          <w:szCs w:val="24"/>
          <w:lang w:val="fr" w:eastAsia="fr-CI"/>
          <w14:ligatures w14:val="none"/>
        </w:rPr>
        <w:t>Qui peut postuler au Fonds de subvention de contrepartie</w:t>
      </w:r>
      <w:r>
        <w:rPr>
          <w:rFonts w:ascii="Arial" w:hAnsi="Arial" w:cs="Arial"/>
          <w:color w:val="000000" w:themeColor="text1"/>
          <w:kern w:val="0"/>
          <w:sz w:val="24"/>
          <w:szCs w:val="24"/>
          <w:lang w:val="fr" w:eastAsia="fr-CI"/>
          <w14:ligatures w14:val="none"/>
        </w:rPr>
        <w:t>……………………………12</w:t>
      </w:r>
      <w:r w:rsidRPr="00456953">
        <w:rPr>
          <w:rFonts w:ascii="Arial" w:hAnsi="Arial" w:cs="Arial"/>
          <w:color w:val="000000" w:themeColor="text1"/>
          <w:kern w:val="0"/>
          <w:sz w:val="24"/>
          <w:szCs w:val="24"/>
          <w:lang w:val="fr" w:eastAsia="fr-CI"/>
          <w14:ligatures w14:val="none"/>
        </w:rPr>
        <w:t xml:space="preserve"> </w:t>
      </w:r>
    </w:p>
    <w:p w14:paraId="36582211" w14:textId="77777777" w:rsidR="000A6C14" w:rsidRPr="00FE5F7B"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20" w:tgtFrame="_blank" w:history="1">
        <w:r w:rsidRPr="00FE5F7B">
          <w:rPr>
            <w:rFonts w:ascii="Arial" w:hAnsi="Arial" w:cs="Arial"/>
            <w:color w:val="000000" w:themeColor="text1"/>
            <w:kern w:val="0"/>
            <w:sz w:val="24"/>
            <w:szCs w:val="24"/>
            <w:lang w:val="fr" w:eastAsia="fr-CI"/>
            <w14:ligatures w14:val="none"/>
          </w:rPr>
          <w:t>Durée et taille</w:t>
        </w:r>
      </w:hyperlink>
      <w:r w:rsidRPr="00FE5F7B">
        <w:rPr>
          <w:rFonts w:ascii="Arial" w:hAnsi="Arial" w:cs="Arial"/>
          <w:color w:val="000000" w:themeColor="text1"/>
          <w:kern w:val="0"/>
          <w:sz w:val="24"/>
          <w:szCs w:val="24"/>
          <w:lang w:val="fr" w:eastAsia="fr-CI"/>
          <w14:ligatures w14:val="none"/>
        </w:rPr>
        <w:t xml:space="preserve"> du projet</w:t>
      </w:r>
      <w:r>
        <w:rPr>
          <w:rFonts w:ascii="Arial" w:hAnsi="Arial" w:cs="Arial"/>
          <w:color w:val="000000" w:themeColor="text1"/>
          <w:kern w:val="0"/>
          <w:sz w:val="24"/>
          <w:szCs w:val="24"/>
          <w:lang w:val="fr" w:eastAsia="fr-CI"/>
          <w14:ligatures w14:val="none"/>
        </w:rPr>
        <w:t>……………………………………………………………………13</w:t>
      </w:r>
    </w:p>
    <w:p w14:paraId="6E1FAC9B" w14:textId="77777777" w:rsidR="000A6C14" w:rsidRPr="00D31089"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r w:rsidRPr="00D31089">
        <w:rPr>
          <w:rFonts w:ascii="Arial" w:hAnsi="Arial" w:cs="Arial"/>
          <w:color w:val="000000" w:themeColor="text1"/>
          <w:kern w:val="0"/>
          <w:sz w:val="24"/>
          <w:szCs w:val="24"/>
          <w:lang w:val="fr" w:eastAsia="fr-CI"/>
          <w14:ligatures w14:val="none"/>
        </w:rPr>
        <w:t>Quelles activités du projet seront soutenues par le Fonds de contrepartie</w:t>
      </w:r>
      <w:r>
        <w:rPr>
          <w:rFonts w:ascii="Arial" w:hAnsi="Arial" w:cs="Arial"/>
          <w:color w:val="000000" w:themeColor="text1"/>
          <w:kern w:val="0"/>
          <w:sz w:val="24"/>
          <w:szCs w:val="24"/>
          <w:lang w:val="fr" w:eastAsia="fr-CI"/>
          <w14:ligatures w14:val="none"/>
        </w:rPr>
        <w:t>……</w:t>
      </w:r>
      <w:proofErr w:type="gramStart"/>
      <w:r>
        <w:rPr>
          <w:rFonts w:ascii="Arial" w:hAnsi="Arial" w:cs="Arial"/>
          <w:color w:val="000000" w:themeColor="text1"/>
          <w:kern w:val="0"/>
          <w:sz w:val="24"/>
          <w:szCs w:val="24"/>
          <w:lang w:val="fr" w:eastAsia="fr-CI"/>
          <w14:ligatures w14:val="none"/>
        </w:rPr>
        <w:t>…….</w:t>
      </w:r>
      <w:proofErr w:type="gramEnd"/>
      <w:r>
        <w:rPr>
          <w:rFonts w:ascii="Arial" w:hAnsi="Arial" w:cs="Arial"/>
          <w:color w:val="000000" w:themeColor="text1"/>
          <w:kern w:val="0"/>
          <w:sz w:val="24"/>
          <w:szCs w:val="24"/>
          <w:lang w:val="fr" w:eastAsia="fr-CI"/>
          <w14:ligatures w14:val="none"/>
        </w:rPr>
        <w:t>14</w:t>
      </w:r>
      <w:r w:rsidRPr="00D31089">
        <w:rPr>
          <w:rFonts w:ascii="Arial" w:hAnsi="Arial" w:cs="Arial"/>
          <w:color w:val="000000" w:themeColor="text1"/>
          <w:kern w:val="0"/>
          <w:sz w:val="24"/>
          <w:szCs w:val="24"/>
          <w:lang w:val="fr" w:eastAsia="fr-CI"/>
          <w14:ligatures w14:val="none"/>
        </w:rPr>
        <w:t xml:space="preserve"> </w:t>
      </w:r>
    </w:p>
    <w:p w14:paraId="502DAC9F" w14:textId="77777777" w:rsidR="000A6C14" w:rsidRPr="006945B7"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21" w:tgtFrame="_blank" w:history="1">
        <w:r w:rsidRPr="006945B7">
          <w:rPr>
            <w:rFonts w:ascii="Arial" w:hAnsi="Arial" w:cs="Arial"/>
            <w:color w:val="000000" w:themeColor="text1"/>
            <w:kern w:val="0"/>
            <w:sz w:val="24"/>
            <w:szCs w:val="24"/>
            <w:lang w:val="fr" w:eastAsia="fr-CI"/>
            <w14:ligatures w14:val="none"/>
          </w:rPr>
          <w:t>Quels sont les coûts admissibles au remboursement dans le cadre du Fonds de subventions de contrepartie</w:t>
        </w:r>
        <w:r>
          <w:rPr>
            <w:rFonts w:ascii="Arial" w:hAnsi="Arial" w:cs="Arial"/>
            <w:color w:val="000000" w:themeColor="text1"/>
            <w:kern w:val="0"/>
            <w:sz w:val="24"/>
            <w:szCs w:val="24"/>
            <w:lang w:val="fr" w:eastAsia="fr-CI"/>
            <w14:ligatures w14:val="none"/>
          </w:rPr>
          <w:t>………………………………………………………………16</w:t>
        </w:r>
        <w:r w:rsidRPr="006945B7">
          <w:rPr>
            <w:rFonts w:ascii="Arial" w:hAnsi="Arial" w:cs="Arial"/>
            <w:color w:val="000000" w:themeColor="text1"/>
            <w:kern w:val="0"/>
            <w:sz w:val="24"/>
            <w:szCs w:val="24"/>
            <w:lang w:val="fr" w:eastAsia="fr-CI"/>
            <w14:ligatures w14:val="none"/>
          </w:rPr>
          <w:t xml:space="preserve"> </w:t>
        </w:r>
      </w:hyperlink>
    </w:p>
    <w:p w14:paraId="03442269" w14:textId="77777777" w:rsidR="000A6C14" w:rsidRPr="00F110B5"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22" w:tgtFrame="_blank" w:history="1">
        <w:r w:rsidRPr="00F110B5">
          <w:rPr>
            <w:rFonts w:ascii="Arial" w:hAnsi="Arial" w:cs="Arial"/>
            <w:color w:val="000000" w:themeColor="text1"/>
            <w:kern w:val="0"/>
            <w:sz w:val="24"/>
            <w:szCs w:val="24"/>
            <w:lang w:val="fr" w:eastAsia="fr-CI"/>
            <w14:ligatures w14:val="none"/>
          </w:rPr>
          <w:t>Indicateurs</w:t>
        </w:r>
      </w:hyperlink>
      <w:r w:rsidRPr="00F110B5">
        <w:rPr>
          <w:rFonts w:ascii="Arial" w:hAnsi="Arial" w:cs="Arial"/>
          <w:color w:val="000000" w:themeColor="text1"/>
          <w:sz w:val="24"/>
          <w:szCs w:val="24"/>
        </w:rPr>
        <w:t xml:space="preserve"> </w:t>
      </w:r>
      <w:r w:rsidRPr="00F110B5">
        <w:rPr>
          <w:rFonts w:ascii="Arial" w:hAnsi="Arial" w:cs="Arial"/>
          <w:color w:val="000000" w:themeColor="text1"/>
          <w:kern w:val="0"/>
          <w:sz w:val="24"/>
          <w:szCs w:val="24"/>
          <w:lang w:val="fr" w:eastAsia="fr-CI"/>
          <w14:ligatures w14:val="none"/>
        </w:rPr>
        <w:t xml:space="preserve">du projet </w:t>
      </w:r>
      <w:r>
        <w:rPr>
          <w:rFonts w:ascii="Arial" w:hAnsi="Arial" w:cs="Arial"/>
          <w:color w:val="000000" w:themeColor="text1"/>
          <w:kern w:val="0"/>
          <w:sz w:val="24"/>
          <w:szCs w:val="24"/>
          <w:lang w:val="fr" w:eastAsia="fr-CI"/>
          <w14:ligatures w14:val="none"/>
        </w:rPr>
        <w:t>………………………………………………………………………16</w:t>
      </w:r>
    </w:p>
    <w:p w14:paraId="67E8D708" w14:textId="77777777" w:rsidR="000A6C14" w:rsidRPr="00147D20" w:rsidRDefault="000A6C14" w:rsidP="000A6C14">
      <w:pPr>
        <w:tabs>
          <w:tab w:val="right" w:pos="9072"/>
        </w:tabs>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23" w:tgtFrame="_blank" w:history="1">
        <w:r w:rsidRPr="00147D20">
          <w:rPr>
            <w:rFonts w:ascii="Arial" w:hAnsi="Arial" w:cs="Arial"/>
            <w:color w:val="000000" w:themeColor="text1"/>
            <w:kern w:val="0"/>
            <w:sz w:val="24"/>
            <w:szCs w:val="24"/>
            <w:lang w:val="fr" w:eastAsia="fr-CI"/>
            <w14:ligatures w14:val="none"/>
          </w:rPr>
          <w:t xml:space="preserve">Section </w:t>
        </w:r>
        <w:r>
          <w:rPr>
            <w:rFonts w:ascii="Arial" w:hAnsi="Arial" w:cs="Arial"/>
            <w:color w:val="000000" w:themeColor="text1"/>
            <w:kern w:val="0"/>
            <w:sz w:val="24"/>
            <w:szCs w:val="24"/>
            <w:lang w:val="fr" w:eastAsia="fr-CI"/>
            <w14:ligatures w14:val="none"/>
          </w:rPr>
          <w:t>5</w:t>
        </w:r>
        <w:r w:rsidRPr="00147D20">
          <w:rPr>
            <w:rFonts w:ascii="Arial" w:hAnsi="Arial" w:cs="Arial"/>
            <w:color w:val="000000" w:themeColor="text1"/>
            <w:kern w:val="0"/>
            <w:sz w:val="24"/>
            <w:szCs w:val="24"/>
            <w:lang w:val="fr" w:eastAsia="fr-CI"/>
            <w14:ligatures w14:val="none"/>
          </w:rPr>
          <w:t xml:space="preserve"> : Processus de financement du fonds de contrepartie</w:t>
        </w:r>
        <w:bookmarkStart w:id="0" w:name="_Hlk136190008"/>
        <w:r w:rsidRPr="00147D20">
          <w:rPr>
            <w:rFonts w:ascii="Arial" w:hAnsi="Arial" w:cs="Arial"/>
            <w:color w:val="000000" w:themeColor="text1"/>
            <w:kern w:val="0"/>
            <w:sz w:val="24"/>
            <w:szCs w:val="24"/>
            <w:lang w:val="fr" w:eastAsia="fr-CI"/>
            <w14:ligatures w14:val="none"/>
          </w:rPr>
          <w:t xml:space="preserve"> compétitif</w:t>
        </w:r>
        <w:bookmarkEnd w:id="0"/>
        <w:r w:rsidRPr="00147D20">
          <w:rPr>
            <w:rFonts w:ascii="Arial" w:hAnsi="Arial" w:cs="Arial"/>
            <w:color w:val="000000" w:themeColor="text1"/>
            <w:kern w:val="0"/>
            <w:sz w:val="24"/>
            <w:szCs w:val="24"/>
            <w:lang w:val="fr" w:eastAsia="fr-CI"/>
            <w14:ligatures w14:val="none"/>
          </w:rPr>
          <w:t xml:space="preserve"> </w:t>
        </w:r>
      </w:hyperlink>
      <w:r w:rsidRPr="00147D20">
        <w:rPr>
          <w:rFonts w:ascii="Arial" w:hAnsi="Arial" w:cs="Arial"/>
          <w:color w:val="000000" w:themeColor="text1"/>
          <w:kern w:val="0"/>
          <w:sz w:val="24"/>
          <w:szCs w:val="24"/>
          <w:lang w:val="fr" w:eastAsia="fr-CI"/>
          <w14:ligatures w14:val="none"/>
        </w:rPr>
        <w:t xml:space="preserve"> </w:t>
      </w:r>
      <w:r>
        <w:rPr>
          <w:rFonts w:ascii="Arial" w:hAnsi="Arial" w:cs="Arial"/>
          <w:color w:val="000000" w:themeColor="text1"/>
          <w:kern w:val="0"/>
          <w:sz w:val="24"/>
          <w:szCs w:val="24"/>
          <w:lang w:val="fr" w:eastAsia="fr-CI"/>
          <w14:ligatures w14:val="none"/>
        </w:rPr>
        <w:t>…</w:t>
      </w:r>
      <w:proofErr w:type="gramStart"/>
      <w:r>
        <w:rPr>
          <w:rFonts w:ascii="Arial" w:hAnsi="Arial" w:cs="Arial"/>
          <w:color w:val="000000" w:themeColor="text1"/>
          <w:kern w:val="0"/>
          <w:sz w:val="24"/>
          <w:szCs w:val="24"/>
          <w:lang w:val="fr" w:eastAsia="fr-CI"/>
          <w14:ligatures w14:val="none"/>
        </w:rPr>
        <w:t>…….</w:t>
      </w:r>
      <w:proofErr w:type="gramEnd"/>
      <w:r>
        <w:rPr>
          <w:rFonts w:ascii="Arial" w:hAnsi="Arial" w:cs="Arial"/>
          <w:color w:val="000000" w:themeColor="text1"/>
          <w:kern w:val="0"/>
          <w:sz w:val="24"/>
          <w:szCs w:val="24"/>
          <w:lang w:val="fr" w:eastAsia="fr-CI"/>
          <w14:ligatures w14:val="none"/>
        </w:rPr>
        <w:t>18</w:t>
      </w:r>
      <w:r>
        <w:rPr>
          <w:rFonts w:ascii="Arial" w:hAnsi="Arial" w:cs="Arial"/>
          <w:color w:val="000000" w:themeColor="text1"/>
          <w:kern w:val="0"/>
          <w:sz w:val="24"/>
          <w:szCs w:val="24"/>
          <w:lang w:val="fr" w:eastAsia="fr-CI"/>
          <w14:ligatures w14:val="none"/>
        </w:rPr>
        <w:tab/>
      </w:r>
    </w:p>
    <w:p w14:paraId="6A8E3349" w14:textId="77777777" w:rsidR="000A6C14" w:rsidRPr="00F9044E"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24" w:tgtFrame="_blank" w:history="1">
        <w:r w:rsidRPr="00F9044E">
          <w:rPr>
            <w:rFonts w:ascii="Arial" w:hAnsi="Arial" w:cs="Arial"/>
            <w:color w:val="000000" w:themeColor="text1"/>
            <w:kern w:val="0"/>
            <w:sz w:val="24"/>
            <w:szCs w:val="24"/>
            <w:lang w:val="fr" w:eastAsia="fr-CI"/>
            <w14:ligatures w14:val="none"/>
          </w:rPr>
          <w:t xml:space="preserve">Organigramme du processus de financement du Fonds </w:t>
        </w:r>
        <w:proofErr w:type="gramStart"/>
        <w:r w:rsidRPr="00F9044E">
          <w:rPr>
            <w:rFonts w:ascii="Arial" w:hAnsi="Arial" w:cs="Arial"/>
            <w:color w:val="000000" w:themeColor="text1"/>
            <w:kern w:val="0"/>
            <w:sz w:val="24"/>
            <w:szCs w:val="24"/>
            <w:lang w:val="fr" w:eastAsia="fr-CI"/>
            <w14:ligatures w14:val="none"/>
          </w:rPr>
          <w:t>de  contrepartie</w:t>
        </w:r>
        <w:proofErr w:type="gramEnd"/>
      </w:hyperlink>
      <w:r>
        <w:rPr>
          <w:rFonts w:ascii="Arial" w:hAnsi="Arial" w:cs="Arial"/>
          <w:color w:val="000000" w:themeColor="text1"/>
          <w:kern w:val="0"/>
          <w:sz w:val="24"/>
          <w:szCs w:val="24"/>
          <w:lang w:val="fr" w:eastAsia="fr-CI"/>
          <w14:ligatures w14:val="none"/>
        </w:rPr>
        <w:t xml:space="preserve">………….18 </w:t>
      </w:r>
    </w:p>
    <w:p w14:paraId="6C525F25" w14:textId="77777777" w:rsidR="000A6C14" w:rsidRPr="00BC0619"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r w:rsidRPr="00BC0619">
        <w:rPr>
          <w:rFonts w:ascii="Arial" w:hAnsi="Arial" w:cs="Arial"/>
          <w:color w:val="000000" w:themeColor="text1"/>
          <w:kern w:val="0"/>
          <w:sz w:val="24"/>
          <w:szCs w:val="24"/>
          <w:lang w:val="fr" w:eastAsia="fr-CI"/>
          <w14:ligatures w14:val="none"/>
        </w:rPr>
        <w:t>Processus de candidature</w:t>
      </w:r>
      <w:r>
        <w:rPr>
          <w:rFonts w:ascii="Arial" w:hAnsi="Arial" w:cs="Arial"/>
          <w:color w:val="000000" w:themeColor="text1"/>
          <w:kern w:val="0"/>
          <w:sz w:val="24"/>
          <w:szCs w:val="24"/>
          <w:lang w:val="fr" w:eastAsia="fr-CI"/>
          <w14:ligatures w14:val="none"/>
        </w:rPr>
        <w:t>…………………………………………………………</w:t>
      </w:r>
      <w:proofErr w:type="gramStart"/>
      <w:r>
        <w:rPr>
          <w:rFonts w:ascii="Arial" w:hAnsi="Arial" w:cs="Arial"/>
          <w:color w:val="000000" w:themeColor="text1"/>
          <w:kern w:val="0"/>
          <w:sz w:val="24"/>
          <w:szCs w:val="24"/>
          <w:lang w:val="fr" w:eastAsia="fr-CI"/>
          <w14:ligatures w14:val="none"/>
        </w:rPr>
        <w:t>…….</w:t>
      </w:r>
      <w:proofErr w:type="gramEnd"/>
      <w:r>
        <w:rPr>
          <w:rFonts w:ascii="Arial" w:hAnsi="Arial" w:cs="Arial"/>
          <w:color w:val="000000" w:themeColor="text1"/>
          <w:kern w:val="0"/>
          <w:sz w:val="24"/>
          <w:szCs w:val="24"/>
          <w:lang w:val="fr" w:eastAsia="fr-CI"/>
          <w14:ligatures w14:val="none"/>
        </w:rPr>
        <w:t>19</w:t>
      </w:r>
    </w:p>
    <w:p w14:paraId="2F18F04D" w14:textId="77777777" w:rsidR="000A6C14" w:rsidRDefault="000A6C14" w:rsidP="000A6C14">
      <w:pPr>
        <w:spacing w:after="0" w:line="240" w:lineRule="auto"/>
        <w:textAlignment w:val="baseline"/>
        <w:rPr>
          <w:rFonts w:ascii="Arial" w:hAnsi="Arial" w:cs="Arial"/>
          <w:sz w:val="24"/>
          <w:szCs w:val="24"/>
        </w:rPr>
      </w:pPr>
      <w:r w:rsidRPr="00BC5654">
        <w:rPr>
          <w:rFonts w:ascii="Arial" w:hAnsi="Arial" w:cs="Arial"/>
          <w:sz w:val="24"/>
          <w:szCs w:val="24"/>
        </w:rPr>
        <w:t>Délais pour le premier appel</w:t>
      </w:r>
      <w:r>
        <w:rPr>
          <w:rFonts w:ascii="Arial" w:hAnsi="Arial" w:cs="Arial"/>
          <w:sz w:val="24"/>
          <w:szCs w:val="24"/>
        </w:rPr>
        <w:t>……………………………………………………………...</w:t>
      </w:r>
      <w:r w:rsidRPr="00BC5654">
        <w:rPr>
          <w:rFonts w:ascii="Arial" w:hAnsi="Arial" w:cs="Arial"/>
          <w:sz w:val="24"/>
          <w:szCs w:val="24"/>
        </w:rPr>
        <w:t>22</w:t>
      </w:r>
    </w:p>
    <w:p w14:paraId="6AC77623" w14:textId="77777777" w:rsidR="000A6C14" w:rsidRPr="001D05C5"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25" w:tgtFrame="_blank" w:history="1">
        <w:r w:rsidRPr="001D05C5">
          <w:rPr>
            <w:rFonts w:ascii="Arial" w:hAnsi="Arial" w:cs="Arial"/>
            <w:color w:val="000000" w:themeColor="text1"/>
            <w:kern w:val="0"/>
            <w:sz w:val="24"/>
            <w:szCs w:val="24"/>
            <w:lang w:val="fr" w:eastAsia="fr-CI"/>
            <w14:ligatures w14:val="none"/>
          </w:rPr>
          <w:t>Protection des données</w:t>
        </w:r>
      </w:hyperlink>
      <w:r>
        <w:rPr>
          <w:rFonts w:ascii="Arial" w:hAnsi="Arial" w:cs="Arial"/>
          <w:color w:val="000000" w:themeColor="text1"/>
          <w:kern w:val="0"/>
          <w:sz w:val="24"/>
          <w:szCs w:val="24"/>
          <w:lang w:val="fr" w:eastAsia="fr-CI"/>
          <w14:ligatures w14:val="none"/>
        </w:rPr>
        <w:t>……………………………………………………………</w:t>
      </w:r>
      <w:proofErr w:type="gramStart"/>
      <w:r>
        <w:rPr>
          <w:rFonts w:ascii="Arial" w:hAnsi="Arial" w:cs="Arial"/>
          <w:color w:val="000000" w:themeColor="text1"/>
          <w:kern w:val="0"/>
          <w:sz w:val="24"/>
          <w:szCs w:val="24"/>
          <w:lang w:val="fr" w:eastAsia="fr-CI"/>
          <w14:ligatures w14:val="none"/>
        </w:rPr>
        <w:t>…….</w:t>
      </w:r>
      <w:proofErr w:type="gramEnd"/>
      <w:r>
        <w:rPr>
          <w:rFonts w:ascii="Arial" w:hAnsi="Arial" w:cs="Arial"/>
          <w:color w:val="000000" w:themeColor="text1"/>
          <w:kern w:val="0"/>
          <w:sz w:val="24"/>
          <w:szCs w:val="24"/>
          <w:lang w:val="fr" w:eastAsia="fr-CI"/>
          <w14:ligatures w14:val="none"/>
        </w:rPr>
        <w:t>.23</w:t>
      </w:r>
    </w:p>
    <w:p w14:paraId="010C1774" w14:textId="77777777" w:rsidR="000A6C14" w:rsidRPr="00CD7FE2" w:rsidRDefault="000A6C14" w:rsidP="000A6C14">
      <w:pPr>
        <w:spacing w:after="0" w:line="240" w:lineRule="auto"/>
        <w:textAlignment w:val="baseline"/>
        <w:rPr>
          <w:rFonts w:ascii="Arial" w:eastAsia="Times New Roman" w:hAnsi="Arial" w:cs="Arial"/>
          <w:color w:val="000000" w:themeColor="text1"/>
          <w:kern w:val="0"/>
          <w:sz w:val="24"/>
          <w:szCs w:val="24"/>
          <w:lang w:eastAsia="fr-CI"/>
          <w14:ligatures w14:val="none"/>
        </w:rPr>
      </w:pPr>
      <w:hyperlink r:id="rId26" w:tgtFrame="_blank" w:history="1">
        <w:r w:rsidRPr="00CD7FE2">
          <w:rPr>
            <w:rFonts w:ascii="Arial" w:hAnsi="Arial" w:cs="Arial"/>
            <w:color w:val="000000" w:themeColor="text1"/>
            <w:kern w:val="0"/>
            <w:sz w:val="24"/>
            <w:szCs w:val="24"/>
            <w:lang w:val="fr" w:eastAsia="fr-CI"/>
            <w14:ligatures w14:val="none"/>
          </w:rPr>
          <w:t>Annexes</w:t>
        </w:r>
      </w:hyperlink>
      <w:r>
        <w:rPr>
          <w:rFonts w:ascii="Arial" w:hAnsi="Arial" w:cs="Arial"/>
          <w:color w:val="000000" w:themeColor="text1"/>
          <w:kern w:val="0"/>
          <w:sz w:val="24"/>
          <w:szCs w:val="24"/>
          <w:lang w:val="fr" w:eastAsia="fr-CI"/>
          <w14:ligatures w14:val="none"/>
        </w:rPr>
        <w:t>……………………………………………………………………………</w:t>
      </w:r>
      <w:proofErr w:type="gramStart"/>
      <w:r>
        <w:rPr>
          <w:rFonts w:ascii="Arial" w:hAnsi="Arial" w:cs="Arial"/>
          <w:color w:val="000000" w:themeColor="text1"/>
          <w:kern w:val="0"/>
          <w:sz w:val="24"/>
          <w:szCs w:val="24"/>
          <w:lang w:val="fr" w:eastAsia="fr-CI"/>
          <w14:ligatures w14:val="none"/>
        </w:rPr>
        <w:t>…….</w:t>
      </w:r>
      <w:proofErr w:type="gramEnd"/>
      <w:r>
        <w:rPr>
          <w:rFonts w:ascii="Arial" w:hAnsi="Arial" w:cs="Arial"/>
          <w:color w:val="000000" w:themeColor="text1"/>
          <w:kern w:val="0"/>
          <w:sz w:val="24"/>
          <w:szCs w:val="24"/>
          <w:lang w:val="fr" w:eastAsia="fr-CI"/>
          <w14:ligatures w14:val="none"/>
        </w:rPr>
        <w:t>24</w:t>
      </w:r>
    </w:p>
    <w:p w14:paraId="47EC5EA2"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1F74E1C"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eastAsia="Times New Roman" w:hAnsi="Arial" w:cs="Arial"/>
          <w:b/>
          <w:bCs/>
          <w:color w:val="2F5496"/>
          <w:kern w:val="0"/>
          <w:sz w:val="24"/>
          <w:szCs w:val="24"/>
          <w:lang w:eastAsia="fr-CI"/>
          <w14:ligatures w14:val="none"/>
        </w:rPr>
        <w:t> </w:t>
      </w:r>
    </w:p>
    <w:p w14:paraId="177C64A3"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eastAsia="Times New Roman" w:hAnsi="Arial" w:cs="Arial"/>
          <w:b/>
          <w:bCs/>
          <w:color w:val="2F5496"/>
          <w:kern w:val="0"/>
          <w:sz w:val="24"/>
          <w:szCs w:val="24"/>
          <w:lang w:eastAsia="fr-CI"/>
          <w14:ligatures w14:val="none"/>
        </w:rPr>
        <w:t> </w:t>
      </w:r>
    </w:p>
    <w:p w14:paraId="1A2D7A3D"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eastAsia="Times New Roman" w:hAnsi="Arial" w:cs="Arial"/>
          <w:b/>
          <w:bCs/>
          <w:color w:val="2F5496"/>
          <w:kern w:val="0"/>
          <w:sz w:val="24"/>
          <w:szCs w:val="24"/>
          <w:lang w:eastAsia="fr-CI"/>
          <w14:ligatures w14:val="none"/>
        </w:rPr>
        <w:t> </w:t>
      </w:r>
    </w:p>
    <w:p w14:paraId="5DB73267"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81574C1"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4A2CFA10"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3A820B82"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A004FF2"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907C8F5"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AB55B3C"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4A79ECC8"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427D8248"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63FBE4E3"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5188C569"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070A2B09"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2C219C3D"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20738AD5"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0BA1C97A"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58BAF45B"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173D3941"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22CA1F33"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3F1B9DED"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218661FE"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3B6A1F65"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71434286"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3C5C10E8"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3301626F"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572A011B"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01795F46"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eastAsia="Times New Roman" w:hAnsi="Arial" w:cs="Arial"/>
          <w:b/>
          <w:bCs/>
          <w:color w:val="2F5496"/>
          <w:kern w:val="0"/>
          <w:sz w:val="24"/>
          <w:szCs w:val="24"/>
          <w:lang w:eastAsia="fr-CI"/>
          <w14:ligatures w14:val="none"/>
        </w:rPr>
        <w:t> </w:t>
      </w:r>
    </w:p>
    <w:p w14:paraId="2848BA93"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Liste des abréviations</w:t>
      </w:r>
    </w:p>
    <w:p w14:paraId="092A7173" w14:textId="77777777" w:rsidR="000A6C14" w:rsidRPr="009163C4" w:rsidRDefault="000A6C14" w:rsidP="000A6C14">
      <w:pPr>
        <w:spacing w:after="0" w:line="240" w:lineRule="auto"/>
        <w:ind w:left="-15"/>
        <w:jc w:val="both"/>
        <w:textAlignment w:val="baseline"/>
        <w:rPr>
          <w:rFonts w:ascii="Arial" w:eastAsia="Times New Roman" w:hAnsi="Arial" w:cs="Arial"/>
          <w:kern w:val="0"/>
          <w:sz w:val="24"/>
          <w:szCs w:val="24"/>
          <w:lang w:eastAsia="fr-CI"/>
          <w14:ligatures w14:val="none"/>
        </w:rPr>
      </w:pPr>
      <w:r w:rsidRPr="009163C4">
        <w:rPr>
          <w:rFonts w:ascii="Arial" w:hAnsi="Arial" w:cs="Arial"/>
          <w:noProof/>
          <w:sz w:val="24"/>
          <w:szCs w:val="24"/>
        </w:rPr>
        <w:drawing>
          <wp:inline distT="0" distB="0" distL="0" distR="0" wp14:anchorId="20D2D373" wp14:editId="5306B5CC">
            <wp:extent cx="5760720" cy="17780"/>
            <wp:effectExtent l="0" t="0" r="0" b="0"/>
            <wp:docPr id="1189068893" name="Picture 1189068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7780"/>
                    </a:xfrm>
                    <a:prstGeom prst="rect">
                      <a:avLst/>
                    </a:prstGeom>
                    <a:noFill/>
                    <a:ln>
                      <a:noFill/>
                    </a:ln>
                  </pic:spPr>
                </pic:pic>
              </a:graphicData>
            </a:graphic>
          </wp:inline>
        </w:drawing>
      </w:r>
      <w:r w:rsidRPr="009163C4">
        <w:rPr>
          <w:rFonts w:ascii="Arial" w:eastAsia="Times New Roman" w:hAnsi="Arial" w:cs="Arial"/>
          <w:kern w:val="0"/>
          <w:sz w:val="24"/>
          <w:szCs w:val="24"/>
          <w:lang w:eastAsia="fr-CI"/>
          <w14:ligatures w14:val="none"/>
        </w:rPr>
        <w:t> </w:t>
      </w:r>
    </w:p>
    <w:tbl>
      <w:tblPr>
        <w:tblW w:w="8685" w:type="dxa"/>
        <w:tblInd w:w="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6615"/>
      </w:tblGrid>
      <w:tr w:rsidR="000A6C14" w:rsidRPr="00551697" w14:paraId="6234E532" w14:textId="77777777" w:rsidTr="00CF3208">
        <w:trPr>
          <w:trHeight w:val="300"/>
        </w:trPr>
        <w:tc>
          <w:tcPr>
            <w:tcW w:w="2070" w:type="dxa"/>
            <w:tcBorders>
              <w:top w:val="nil"/>
              <w:left w:val="nil"/>
              <w:bottom w:val="nil"/>
              <w:right w:val="nil"/>
            </w:tcBorders>
            <w:shd w:val="clear" w:color="auto" w:fill="auto"/>
            <w:hideMark/>
          </w:tcPr>
          <w:p w14:paraId="3C4EF1CD"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ABF</w:t>
            </w:r>
          </w:p>
        </w:tc>
        <w:tc>
          <w:tcPr>
            <w:tcW w:w="6615" w:type="dxa"/>
            <w:tcBorders>
              <w:top w:val="nil"/>
              <w:left w:val="nil"/>
              <w:bottom w:val="nil"/>
              <w:right w:val="nil"/>
            </w:tcBorders>
            <w:shd w:val="clear" w:color="auto" w:fill="auto"/>
            <w:hideMark/>
          </w:tcPr>
          <w:p w14:paraId="3B9F1D54" w14:textId="77777777" w:rsidR="000A6C14" w:rsidRPr="009650C4" w:rsidRDefault="000A6C14" w:rsidP="00CF3208">
            <w:pPr>
              <w:spacing w:after="0" w:line="240" w:lineRule="auto"/>
              <w:jc w:val="both"/>
              <w:textAlignment w:val="baseline"/>
              <w:rPr>
                <w:rFonts w:ascii="Arial" w:eastAsia="Times New Roman" w:hAnsi="Arial" w:cs="Arial"/>
                <w:kern w:val="0"/>
                <w:sz w:val="24"/>
                <w:szCs w:val="24"/>
                <w:lang w:val="en-US" w:eastAsia="fr-CI"/>
                <w14:ligatures w14:val="none"/>
              </w:rPr>
            </w:pPr>
            <w:r w:rsidRPr="009650C4">
              <w:rPr>
                <w:rFonts w:ascii="Arial" w:hAnsi="Arial" w:cs="Arial"/>
                <w:sz w:val="24"/>
                <w:szCs w:val="24"/>
                <w:lang w:val="en-US"/>
              </w:rPr>
              <w:t xml:space="preserve">Agri-Business Facility for Africa </w:t>
            </w:r>
          </w:p>
        </w:tc>
      </w:tr>
      <w:tr w:rsidR="000A6C14" w:rsidRPr="009163C4" w14:paraId="76D5EBD5" w14:textId="77777777" w:rsidTr="00CF3208">
        <w:trPr>
          <w:trHeight w:val="360"/>
        </w:trPr>
        <w:tc>
          <w:tcPr>
            <w:tcW w:w="2070" w:type="dxa"/>
            <w:tcBorders>
              <w:top w:val="nil"/>
              <w:left w:val="nil"/>
              <w:bottom w:val="nil"/>
              <w:right w:val="nil"/>
            </w:tcBorders>
            <w:shd w:val="clear" w:color="auto" w:fill="auto"/>
            <w:hideMark/>
          </w:tcPr>
          <w:p w14:paraId="2249AC85"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ACA</w:t>
            </w:r>
          </w:p>
        </w:tc>
        <w:tc>
          <w:tcPr>
            <w:tcW w:w="6615" w:type="dxa"/>
            <w:tcBorders>
              <w:top w:val="nil"/>
              <w:left w:val="nil"/>
              <w:bottom w:val="nil"/>
              <w:right w:val="nil"/>
            </w:tcBorders>
            <w:shd w:val="clear" w:color="auto" w:fill="auto"/>
            <w:hideMark/>
          </w:tcPr>
          <w:p w14:paraId="7F6C3FBB"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Alliance Africaine pour la noix de cajou</w:t>
            </w:r>
          </w:p>
        </w:tc>
      </w:tr>
      <w:tr w:rsidR="000A6C14" w:rsidRPr="009163C4" w14:paraId="775BB257" w14:textId="77777777" w:rsidTr="00CF3208">
        <w:trPr>
          <w:trHeight w:val="360"/>
        </w:trPr>
        <w:tc>
          <w:tcPr>
            <w:tcW w:w="2070" w:type="dxa"/>
            <w:tcBorders>
              <w:top w:val="nil"/>
              <w:left w:val="nil"/>
              <w:bottom w:val="nil"/>
              <w:right w:val="nil"/>
            </w:tcBorders>
            <w:shd w:val="clear" w:color="auto" w:fill="auto"/>
            <w:hideMark/>
          </w:tcPr>
          <w:p w14:paraId="07C530CF"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ATVET</w:t>
            </w:r>
          </w:p>
        </w:tc>
        <w:tc>
          <w:tcPr>
            <w:tcW w:w="6615" w:type="dxa"/>
            <w:tcBorders>
              <w:top w:val="nil"/>
              <w:left w:val="nil"/>
              <w:bottom w:val="nil"/>
              <w:right w:val="nil"/>
            </w:tcBorders>
            <w:shd w:val="clear" w:color="auto" w:fill="auto"/>
            <w:hideMark/>
          </w:tcPr>
          <w:p w14:paraId="32EE345D"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Établissements d’enseignement et de formation techniques et professionnels agricoles</w:t>
            </w:r>
          </w:p>
        </w:tc>
      </w:tr>
      <w:tr w:rsidR="000A6C14" w:rsidRPr="009163C4" w14:paraId="35473C5F" w14:textId="77777777" w:rsidTr="00CF3208">
        <w:trPr>
          <w:trHeight w:val="360"/>
        </w:trPr>
        <w:tc>
          <w:tcPr>
            <w:tcW w:w="2070" w:type="dxa"/>
            <w:tcBorders>
              <w:top w:val="nil"/>
              <w:left w:val="nil"/>
              <w:bottom w:val="nil"/>
              <w:right w:val="nil"/>
            </w:tcBorders>
            <w:shd w:val="clear" w:color="auto" w:fill="auto"/>
            <w:hideMark/>
          </w:tcPr>
          <w:p w14:paraId="13D5BCA7" w14:textId="77777777" w:rsidR="000A6C14" w:rsidRPr="009163C4" w:rsidRDefault="000A6C14" w:rsidP="00CF3208">
            <w:pPr>
              <w:spacing w:after="0" w:line="240" w:lineRule="auto"/>
              <w:jc w:val="both"/>
              <w:textAlignment w:val="baseline"/>
              <w:rPr>
                <w:rFonts w:ascii="Arial" w:eastAsia="Times New Roman" w:hAnsi="Arial" w:cs="Arial"/>
                <w:b/>
                <w:bCs/>
                <w:kern w:val="0"/>
                <w:sz w:val="24"/>
                <w:szCs w:val="24"/>
                <w:lang w:eastAsia="fr-CI"/>
                <w14:ligatures w14:val="none"/>
              </w:rPr>
            </w:pPr>
            <w:r w:rsidRPr="009163C4">
              <w:rPr>
                <w:rFonts w:ascii="Arial" w:eastAsia="Times New Roman" w:hAnsi="Arial" w:cs="Arial"/>
                <w:b/>
                <w:bCs/>
                <w:kern w:val="0"/>
                <w:sz w:val="24"/>
                <w:szCs w:val="24"/>
                <w:lang w:eastAsia="fr-CI"/>
                <w14:ligatures w14:val="none"/>
              </w:rPr>
              <w:t>BMGF</w:t>
            </w:r>
          </w:p>
        </w:tc>
        <w:tc>
          <w:tcPr>
            <w:tcW w:w="6615" w:type="dxa"/>
            <w:tcBorders>
              <w:top w:val="nil"/>
              <w:left w:val="nil"/>
              <w:bottom w:val="nil"/>
              <w:right w:val="nil"/>
            </w:tcBorders>
            <w:shd w:val="clear" w:color="auto" w:fill="auto"/>
            <w:hideMark/>
          </w:tcPr>
          <w:p w14:paraId="09B30EB0"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Fondation Bill &amp; Melinda Gates</w:t>
            </w:r>
          </w:p>
        </w:tc>
      </w:tr>
      <w:tr w:rsidR="000A6C14" w:rsidRPr="009163C4" w14:paraId="55B51DF8" w14:textId="77777777" w:rsidTr="00CF3208">
        <w:trPr>
          <w:trHeight w:val="360"/>
        </w:trPr>
        <w:tc>
          <w:tcPr>
            <w:tcW w:w="2070" w:type="dxa"/>
            <w:tcBorders>
              <w:top w:val="nil"/>
              <w:left w:val="nil"/>
              <w:bottom w:val="nil"/>
              <w:right w:val="nil"/>
            </w:tcBorders>
            <w:shd w:val="clear" w:color="auto" w:fill="auto"/>
            <w:hideMark/>
          </w:tcPr>
          <w:p w14:paraId="08E3D877" w14:textId="77777777" w:rsidR="000A6C14" w:rsidRPr="009163C4" w:rsidRDefault="000A6C14" w:rsidP="00CF3208">
            <w:pPr>
              <w:spacing w:after="0" w:line="240" w:lineRule="auto"/>
              <w:jc w:val="both"/>
              <w:textAlignment w:val="baseline"/>
              <w:rPr>
                <w:rFonts w:ascii="Arial" w:eastAsia="Times New Roman" w:hAnsi="Arial" w:cs="Arial"/>
                <w:b/>
                <w:bCs/>
                <w:kern w:val="0"/>
                <w:sz w:val="24"/>
                <w:szCs w:val="24"/>
                <w:lang w:eastAsia="fr-CI"/>
                <w14:ligatures w14:val="none"/>
              </w:rPr>
            </w:pPr>
            <w:r w:rsidRPr="009163C4">
              <w:rPr>
                <w:rFonts w:ascii="Arial" w:eastAsia="Times New Roman" w:hAnsi="Arial" w:cs="Arial"/>
                <w:b/>
                <w:bCs/>
                <w:kern w:val="0"/>
                <w:sz w:val="24"/>
                <w:szCs w:val="24"/>
                <w:lang w:eastAsia="fr-CI"/>
                <w14:ligatures w14:val="none"/>
              </w:rPr>
              <w:t>BMZ</w:t>
            </w:r>
          </w:p>
        </w:tc>
        <w:tc>
          <w:tcPr>
            <w:tcW w:w="6615" w:type="dxa"/>
            <w:tcBorders>
              <w:top w:val="nil"/>
              <w:left w:val="nil"/>
              <w:bottom w:val="nil"/>
              <w:right w:val="nil"/>
            </w:tcBorders>
            <w:shd w:val="clear" w:color="auto" w:fill="auto"/>
            <w:hideMark/>
          </w:tcPr>
          <w:p w14:paraId="27F3F971"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Ministère Fédéral Allemand de la Coopération Economique et du Développement</w:t>
            </w:r>
          </w:p>
        </w:tc>
      </w:tr>
      <w:tr w:rsidR="000A6C14" w:rsidRPr="009163C4" w14:paraId="5DD1DBDE" w14:textId="77777777" w:rsidTr="00CF3208">
        <w:trPr>
          <w:trHeight w:val="360"/>
        </w:trPr>
        <w:tc>
          <w:tcPr>
            <w:tcW w:w="2070" w:type="dxa"/>
            <w:tcBorders>
              <w:top w:val="nil"/>
              <w:left w:val="nil"/>
              <w:bottom w:val="nil"/>
              <w:right w:val="nil"/>
            </w:tcBorders>
            <w:shd w:val="clear" w:color="auto" w:fill="auto"/>
            <w:hideMark/>
          </w:tcPr>
          <w:p w14:paraId="204B9C98" w14:textId="77777777" w:rsidR="000A6C14" w:rsidRDefault="000A6C14" w:rsidP="00CF3208">
            <w:pPr>
              <w:spacing w:after="0" w:line="240" w:lineRule="auto"/>
              <w:jc w:val="both"/>
              <w:textAlignment w:val="baseline"/>
              <w:rPr>
                <w:rFonts w:ascii="Arial" w:hAnsi="Arial" w:cs="Arial"/>
                <w:b/>
                <w:bCs/>
                <w:kern w:val="0"/>
                <w:sz w:val="24"/>
                <w:szCs w:val="24"/>
                <w:lang w:val="fr" w:eastAsia="fr-CI"/>
                <w14:ligatures w14:val="none"/>
              </w:rPr>
            </w:pPr>
            <w:r w:rsidRPr="009163C4">
              <w:rPr>
                <w:rFonts w:ascii="Arial" w:hAnsi="Arial" w:cs="Arial"/>
                <w:b/>
                <w:bCs/>
                <w:kern w:val="0"/>
                <w:sz w:val="24"/>
                <w:szCs w:val="24"/>
                <w:lang w:val="fr" w:eastAsia="fr-CI"/>
                <w14:ligatures w14:val="none"/>
              </w:rPr>
              <w:t>CBS</w:t>
            </w:r>
          </w:p>
          <w:p w14:paraId="0FC34378" w14:textId="77777777" w:rsidR="000A6C14" w:rsidRDefault="000A6C14" w:rsidP="00CF3208">
            <w:pPr>
              <w:spacing w:after="0" w:line="240" w:lineRule="auto"/>
              <w:jc w:val="both"/>
              <w:textAlignment w:val="baseline"/>
              <w:rPr>
                <w:rFonts w:ascii="Arial" w:eastAsia="Times New Roman" w:hAnsi="Arial" w:cs="Arial"/>
                <w:b/>
                <w:bCs/>
                <w:kern w:val="0"/>
                <w:sz w:val="24"/>
                <w:szCs w:val="24"/>
                <w:lang w:eastAsia="fr-CI"/>
                <w14:ligatures w14:val="none"/>
              </w:rPr>
            </w:pPr>
            <w:r>
              <w:rPr>
                <w:rFonts w:ascii="Arial" w:eastAsia="Times New Roman" w:hAnsi="Arial" w:cs="Arial"/>
                <w:b/>
                <w:bCs/>
                <w:kern w:val="0"/>
                <w:sz w:val="24"/>
                <w:szCs w:val="24"/>
                <w:lang w:eastAsia="fr-CI"/>
                <w14:ligatures w14:val="none"/>
              </w:rPr>
              <w:t>CA</w:t>
            </w:r>
          </w:p>
          <w:p w14:paraId="51001AAD"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Pr>
                <w:rFonts w:ascii="Arial" w:eastAsia="Times New Roman" w:hAnsi="Arial" w:cs="Arial"/>
                <w:b/>
                <w:bCs/>
                <w:kern w:val="0"/>
                <w:sz w:val="24"/>
                <w:szCs w:val="24"/>
                <w:lang w:eastAsia="fr-CI"/>
                <w14:ligatures w14:val="none"/>
              </w:rPr>
              <w:t xml:space="preserve">CC </w:t>
            </w:r>
          </w:p>
        </w:tc>
        <w:tc>
          <w:tcPr>
            <w:tcW w:w="6615" w:type="dxa"/>
            <w:tcBorders>
              <w:top w:val="nil"/>
              <w:left w:val="nil"/>
              <w:bottom w:val="nil"/>
              <w:right w:val="nil"/>
            </w:tcBorders>
            <w:shd w:val="clear" w:color="auto" w:fill="auto"/>
            <w:hideMark/>
          </w:tcPr>
          <w:p w14:paraId="0C0C2EA6" w14:textId="77777777" w:rsidR="000A6C14" w:rsidRDefault="000A6C14" w:rsidP="00CF3208">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École d</w:t>
            </w:r>
            <w:r>
              <w:rPr>
                <w:rFonts w:ascii="Arial" w:hAnsi="Arial" w:cs="Arial"/>
                <w:kern w:val="0"/>
                <w:sz w:val="24"/>
                <w:szCs w:val="24"/>
                <w:lang w:val="fr" w:eastAsia="fr-CI"/>
                <w14:ligatures w14:val="none"/>
              </w:rPr>
              <w:t xml:space="preserve">’entrepreneuriat </w:t>
            </w:r>
            <w:r w:rsidRPr="009163C4">
              <w:rPr>
                <w:rFonts w:ascii="Arial" w:hAnsi="Arial" w:cs="Arial"/>
                <w:kern w:val="0"/>
                <w:sz w:val="24"/>
                <w:szCs w:val="24"/>
                <w:lang w:val="fr" w:eastAsia="fr-CI"/>
                <w14:ligatures w14:val="none"/>
              </w:rPr>
              <w:t>Coopérative</w:t>
            </w:r>
          </w:p>
          <w:p w14:paraId="4A665AF0" w14:textId="77777777" w:rsidR="000A6C1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Pr>
                <w:rFonts w:ascii="Arial" w:eastAsia="Times New Roman" w:hAnsi="Arial" w:cs="Arial"/>
                <w:kern w:val="0"/>
                <w:sz w:val="24"/>
                <w:szCs w:val="24"/>
                <w:lang w:eastAsia="fr-CI"/>
                <w14:ligatures w14:val="none"/>
              </w:rPr>
              <w:t>A</w:t>
            </w:r>
            <w:r w:rsidRPr="00327CD2">
              <w:rPr>
                <w:rFonts w:ascii="Arial" w:eastAsia="Times New Roman" w:hAnsi="Arial" w:cs="Arial"/>
                <w:kern w:val="0"/>
                <w:sz w:val="24"/>
                <w:szCs w:val="24"/>
                <w:lang w:eastAsia="fr-CI"/>
                <w14:ligatures w14:val="none"/>
              </w:rPr>
              <w:t xml:space="preserve">griculture </w:t>
            </w:r>
            <w:r>
              <w:rPr>
                <w:rFonts w:ascii="Arial" w:eastAsia="Times New Roman" w:hAnsi="Arial" w:cs="Arial"/>
                <w:kern w:val="0"/>
                <w:sz w:val="24"/>
                <w:szCs w:val="24"/>
                <w:lang w:eastAsia="fr-CI"/>
                <w14:ligatures w14:val="none"/>
              </w:rPr>
              <w:t>C</w:t>
            </w:r>
            <w:r w:rsidRPr="00327CD2">
              <w:rPr>
                <w:rFonts w:ascii="Arial" w:eastAsia="Times New Roman" w:hAnsi="Arial" w:cs="Arial"/>
                <w:kern w:val="0"/>
                <w:sz w:val="24"/>
                <w:szCs w:val="24"/>
                <w:lang w:eastAsia="fr-CI"/>
                <w14:ligatures w14:val="none"/>
              </w:rPr>
              <w:t>onservatrice</w:t>
            </w:r>
          </w:p>
          <w:p w14:paraId="53BB91B6"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851DA4">
              <w:rPr>
                <w:rFonts w:ascii="Arial" w:eastAsia="Times New Roman" w:hAnsi="Arial" w:cs="Arial"/>
                <w:kern w:val="0"/>
                <w:sz w:val="24"/>
                <w:szCs w:val="24"/>
                <w:lang w:eastAsia="fr-CI"/>
                <w14:ligatures w14:val="none"/>
              </w:rPr>
              <w:t>Adaptation au changement climatique</w:t>
            </w:r>
          </w:p>
        </w:tc>
      </w:tr>
      <w:tr w:rsidR="000A6C14" w:rsidRPr="009163C4" w14:paraId="0DA6FCBD" w14:textId="77777777" w:rsidTr="00CF3208">
        <w:trPr>
          <w:trHeight w:val="360"/>
        </w:trPr>
        <w:tc>
          <w:tcPr>
            <w:tcW w:w="2070" w:type="dxa"/>
            <w:tcBorders>
              <w:top w:val="nil"/>
              <w:left w:val="nil"/>
              <w:bottom w:val="nil"/>
              <w:right w:val="nil"/>
            </w:tcBorders>
            <w:shd w:val="clear" w:color="auto" w:fill="auto"/>
            <w:hideMark/>
          </w:tcPr>
          <w:p w14:paraId="56ECAAF0"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CEMAC</w:t>
            </w:r>
          </w:p>
        </w:tc>
        <w:tc>
          <w:tcPr>
            <w:tcW w:w="6615" w:type="dxa"/>
            <w:tcBorders>
              <w:top w:val="nil"/>
              <w:left w:val="nil"/>
              <w:bottom w:val="nil"/>
              <w:right w:val="nil"/>
            </w:tcBorders>
            <w:shd w:val="clear" w:color="auto" w:fill="auto"/>
            <w:hideMark/>
          </w:tcPr>
          <w:p w14:paraId="5066AA7A"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i/>
                <w:iCs/>
                <w:kern w:val="0"/>
                <w:sz w:val="24"/>
                <w:szCs w:val="24"/>
                <w:lang w:val="fr" w:eastAsia="fr-CI"/>
                <w14:ligatures w14:val="none"/>
              </w:rPr>
              <w:t>Communauté Économique et Monétaire de l'Afrique Centrale</w:t>
            </w:r>
          </w:p>
        </w:tc>
      </w:tr>
      <w:tr w:rsidR="000A6C14" w:rsidRPr="009163C4" w14:paraId="30417AE9" w14:textId="77777777" w:rsidTr="00CF3208">
        <w:trPr>
          <w:trHeight w:val="360"/>
        </w:trPr>
        <w:tc>
          <w:tcPr>
            <w:tcW w:w="2070" w:type="dxa"/>
            <w:tcBorders>
              <w:top w:val="nil"/>
              <w:left w:val="nil"/>
              <w:bottom w:val="nil"/>
              <w:right w:val="nil"/>
            </w:tcBorders>
            <w:shd w:val="clear" w:color="auto" w:fill="auto"/>
            <w:hideMark/>
          </w:tcPr>
          <w:p w14:paraId="5A3AA025"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CICC</w:t>
            </w:r>
          </w:p>
        </w:tc>
        <w:tc>
          <w:tcPr>
            <w:tcW w:w="6615" w:type="dxa"/>
            <w:tcBorders>
              <w:top w:val="nil"/>
              <w:left w:val="nil"/>
              <w:bottom w:val="nil"/>
              <w:right w:val="nil"/>
            </w:tcBorders>
            <w:shd w:val="clear" w:color="auto" w:fill="auto"/>
            <w:hideMark/>
          </w:tcPr>
          <w:p w14:paraId="161EA235"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Conseil Consultatif International Du Cajou</w:t>
            </w:r>
          </w:p>
        </w:tc>
      </w:tr>
      <w:tr w:rsidR="000A6C14" w:rsidRPr="009163C4" w14:paraId="0263D2EA" w14:textId="77777777" w:rsidTr="00CF3208">
        <w:trPr>
          <w:trHeight w:val="360"/>
        </w:trPr>
        <w:tc>
          <w:tcPr>
            <w:tcW w:w="2070" w:type="dxa"/>
            <w:tcBorders>
              <w:top w:val="nil"/>
              <w:left w:val="nil"/>
              <w:bottom w:val="nil"/>
              <w:right w:val="nil"/>
            </w:tcBorders>
            <w:shd w:val="clear" w:color="auto" w:fill="auto"/>
            <w:hideMark/>
          </w:tcPr>
          <w:p w14:paraId="5B150433"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CNSL</w:t>
            </w:r>
          </w:p>
        </w:tc>
        <w:tc>
          <w:tcPr>
            <w:tcW w:w="6615" w:type="dxa"/>
            <w:tcBorders>
              <w:top w:val="nil"/>
              <w:left w:val="nil"/>
              <w:bottom w:val="nil"/>
              <w:right w:val="nil"/>
            </w:tcBorders>
            <w:shd w:val="clear" w:color="auto" w:fill="auto"/>
            <w:hideMark/>
          </w:tcPr>
          <w:p w14:paraId="504F0446"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proofErr w:type="spellStart"/>
            <w:r w:rsidRPr="009163C4">
              <w:rPr>
                <w:rFonts w:ascii="Arial" w:hAnsi="Arial" w:cs="Arial"/>
                <w:kern w:val="0"/>
                <w:sz w:val="24"/>
                <w:szCs w:val="24"/>
                <w:lang w:val="fr" w:eastAsia="fr-CI"/>
                <w14:ligatures w14:val="none"/>
              </w:rPr>
              <w:t>Liquid</w:t>
            </w:r>
            <w:proofErr w:type="spellEnd"/>
            <w:r w:rsidRPr="009163C4">
              <w:rPr>
                <w:rFonts w:ascii="Arial" w:hAnsi="Arial" w:cs="Arial"/>
                <w:kern w:val="0"/>
                <w:sz w:val="24"/>
                <w:szCs w:val="24"/>
                <w:lang w:val="fr" w:eastAsia="fr-CI"/>
                <w14:ligatures w14:val="none"/>
              </w:rPr>
              <w:t xml:space="preserve"> de Coque de Noix de cajou</w:t>
            </w:r>
          </w:p>
        </w:tc>
      </w:tr>
      <w:tr w:rsidR="000A6C14" w:rsidRPr="009163C4" w14:paraId="221B74C7" w14:textId="77777777" w:rsidTr="00CF3208">
        <w:trPr>
          <w:trHeight w:val="360"/>
        </w:trPr>
        <w:tc>
          <w:tcPr>
            <w:tcW w:w="2070" w:type="dxa"/>
            <w:tcBorders>
              <w:top w:val="nil"/>
              <w:left w:val="nil"/>
              <w:bottom w:val="nil"/>
              <w:right w:val="nil"/>
            </w:tcBorders>
            <w:shd w:val="clear" w:color="auto" w:fill="auto"/>
            <w:hideMark/>
          </w:tcPr>
          <w:p w14:paraId="4A9F1A8C"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ComCashew</w:t>
            </w:r>
          </w:p>
          <w:p w14:paraId="54CA47E6"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CAE</w:t>
            </w:r>
          </w:p>
        </w:tc>
        <w:tc>
          <w:tcPr>
            <w:tcW w:w="6615" w:type="dxa"/>
            <w:tcBorders>
              <w:top w:val="nil"/>
              <w:left w:val="nil"/>
              <w:bottom w:val="nil"/>
              <w:right w:val="nil"/>
            </w:tcBorders>
            <w:shd w:val="clear" w:color="auto" w:fill="auto"/>
            <w:hideMark/>
          </w:tcPr>
          <w:p w14:paraId="6F3527A1"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Initiative compétitive pour le cajou</w:t>
            </w:r>
          </w:p>
          <w:p w14:paraId="653E4CF6"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Communauté de l’Afrique de l’Est</w:t>
            </w:r>
          </w:p>
        </w:tc>
      </w:tr>
      <w:tr w:rsidR="000A6C14" w:rsidRPr="009163C4" w14:paraId="07C9F94F" w14:textId="77777777" w:rsidTr="00CF3208">
        <w:trPr>
          <w:trHeight w:val="360"/>
        </w:trPr>
        <w:tc>
          <w:tcPr>
            <w:tcW w:w="2070" w:type="dxa"/>
            <w:tcBorders>
              <w:top w:val="nil"/>
              <w:left w:val="nil"/>
              <w:bottom w:val="nil"/>
              <w:right w:val="nil"/>
            </w:tcBorders>
            <w:shd w:val="clear" w:color="auto" w:fill="auto"/>
            <w:hideMark/>
          </w:tcPr>
          <w:p w14:paraId="125BAFFE" w14:textId="77777777" w:rsidR="000A6C14" w:rsidRDefault="000A6C14" w:rsidP="00CF3208">
            <w:pPr>
              <w:spacing w:after="0" w:line="240" w:lineRule="auto"/>
              <w:jc w:val="both"/>
              <w:textAlignment w:val="baseline"/>
              <w:rPr>
                <w:rFonts w:ascii="Arial" w:hAnsi="Arial" w:cs="Arial"/>
                <w:b/>
                <w:bCs/>
                <w:kern w:val="0"/>
                <w:sz w:val="24"/>
                <w:szCs w:val="24"/>
                <w:lang w:val="fr" w:eastAsia="fr-CI"/>
                <w14:ligatures w14:val="none"/>
              </w:rPr>
            </w:pPr>
            <w:r w:rsidRPr="009163C4">
              <w:rPr>
                <w:rFonts w:ascii="Arial" w:hAnsi="Arial" w:cs="Arial"/>
                <w:b/>
                <w:bCs/>
                <w:kern w:val="0"/>
                <w:sz w:val="24"/>
                <w:szCs w:val="24"/>
                <w:lang w:val="fr" w:eastAsia="fr-CI"/>
                <w14:ligatures w14:val="none"/>
              </w:rPr>
              <w:t>EC</w:t>
            </w:r>
          </w:p>
          <w:p w14:paraId="627B5181" w14:textId="77777777" w:rsidR="000A6C14" w:rsidRDefault="000A6C14" w:rsidP="00CF3208">
            <w:pPr>
              <w:spacing w:after="0" w:line="240" w:lineRule="auto"/>
              <w:jc w:val="both"/>
              <w:textAlignment w:val="baseline"/>
              <w:rPr>
                <w:rFonts w:ascii="Arial" w:eastAsia="Times New Roman" w:hAnsi="Arial" w:cs="Arial"/>
                <w:b/>
                <w:bCs/>
                <w:kern w:val="0"/>
                <w:sz w:val="24"/>
                <w:szCs w:val="24"/>
                <w:lang w:eastAsia="fr-CI"/>
                <w14:ligatures w14:val="none"/>
              </w:rPr>
            </w:pPr>
            <w:r>
              <w:rPr>
                <w:rFonts w:ascii="Arial" w:eastAsia="Times New Roman" w:hAnsi="Arial" w:cs="Arial"/>
                <w:b/>
                <w:bCs/>
                <w:kern w:val="0"/>
                <w:sz w:val="24"/>
                <w:szCs w:val="24"/>
                <w:lang w:eastAsia="fr-CI"/>
                <w14:ligatures w14:val="none"/>
              </w:rPr>
              <w:t>UE</w:t>
            </w:r>
          </w:p>
          <w:p w14:paraId="2FF29E7A"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Pr>
                <w:rFonts w:ascii="Arial" w:eastAsia="Arial" w:hAnsi="Arial" w:cs="Arial"/>
                <w:b/>
              </w:rPr>
              <w:t>EU-INTPA</w:t>
            </w:r>
          </w:p>
        </w:tc>
        <w:tc>
          <w:tcPr>
            <w:tcW w:w="6615" w:type="dxa"/>
            <w:tcBorders>
              <w:top w:val="nil"/>
              <w:left w:val="nil"/>
              <w:bottom w:val="nil"/>
              <w:right w:val="nil"/>
            </w:tcBorders>
            <w:shd w:val="clear" w:color="auto" w:fill="auto"/>
            <w:hideMark/>
          </w:tcPr>
          <w:p w14:paraId="09B67548" w14:textId="77777777" w:rsidR="000A6C14" w:rsidRDefault="000A6C14" w:rsidP="00CF3208">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Comités d’experts interinstitutionnels</w:t>
            </w:r>
          </w:p>
          <w:p w14:paraId="37BDFF28" w14:textId="77777777" w:rsidR="000A6C14" w:rsidRDefault="000A6C14" w:rsidP="00CF3208">
            <w:pPr>
              <w:spacing w:after="0" w:line="240" w:lineRule="auto"/>
              <w:jc w:val="both"/>
              <w:textAlignment w:val="baseline"/>
              <w:rPr>
                <w:rFonts w:ascii="Arial" w:hAnsi="Arial" w:cs="Arial"/>
                <w:kern w:val="0"/>
                <w:sz w:val="24"/>
                <w:szCs w:val="24"/>
                <w:lang w:val="fr" w:eastAsia="fr-CI"/>
                <w14:ligatures w14:val="none"/>
              </w:rPr>
            </w:pPr>
            <w:r>
              <w:rPr>
                <w:rFonts w:ascii="Arial" w:hAnsi="Arial" w:cs="Arial"/>
                <w:kern w:val="0"/>
                <w:sz w:val="24"/>
                <w:szCs w:val="24"/>
                <w:lang w:val="fr" w:eastAsia="fr-CI"/>
                <w14:ligatures w14:val="none"/>
              </w:rPr>
              <w:t>Union Européenne</w:t>
            </w:r>
          </w:p>
          <w:p w14:paraId="0EF27D9F"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B739A3">
              <w:rPr>
                <w:rFonts w:ascii="Arial" w:eastAsia="Times New Roman" w:hAnsi="Arial" w:cs="Arial"/>
                <w:kern w:val="0"/>
                <w:sz w:val="24"/>
                <w:szCs w:val="24"/>
                <w:lang w:eastAsia="fr-CI"/>
                <w14:ligatures w14:val="none"/>
              </w:rPr>
              <w:t>Commission européenne - Partenariats internationaux</w:t>
            </w:r>
          </w:p>
        </w:tc>
      </w:tr>
      <w:tr w:rsidR="000A6C14" w:rsidRPr="009163C4" w14:paraId="2E277D54" w14:textId="77777777" w:rsidTr="00CF3208">
        <w:trPr>
          <w:trHeight w:val="360"/>
        </w:trPr>
        <w:tc>
          <w:tcPr>
            <w:tcW w:w="2070" w:type="dxa"/>
            <w:tcBorders>
              <w:top w:val="nil"/>
              <w:left w:val="nil"/>
              <w:bottom w:val="nil"/>
              <w:right w:val="nil"/>
            </w:tcBorders>
            <w:shd w:val="clear" w:color="auto" w:fill="auto"/>
            <w:hideMark/>
          </w:tcPr>
          <w:p w14:paraId="6A6DF62E"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CEDEAO</w:t>
            </w:r>
          </w:p>
        </w:tc>
        <w:tc>
          <w:tcPr>
            <w:tcW w:w="6615" w:type="dxa"/>
            <w:tcBorders>
              <w:top w:val="nil"/>
              <w:left w:val="nil"/>
              <w:bottom w:val="nil"/>
              <w:right w:val="nil"/>
            </w:tcBorders>
            <w:shd w:val="clear" w:color="auto" w:fill="auto"/>
            <w:hideMark/>
          </w:tcPr>
          <w:p w14:paraId="178A428B"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Communauté Economique des États de l’Afrique de l’Ouest</w:t>
            </w:r>
          </w:p>
        </w:tc>
      </w:tr>
      <w:tr w:rsidR="000A6C14" w:rsidRPr="009163C4" w14:paraId="1A3CE0E5" w14:textId="77777777" w:rsidTr="00CF3208">
        <w:trPr>
          <w:trHeight w:val="360"/>
        </w:trPr>
        <w:tc>
          <w:tcPr>
            <w:tcW w:w="2070" w:type="dxa"/>
            <w:tcBorders>
              <w:top w:val="nil"/>
              <w:left w:val="nil"/>
              <w:bottom w:val="nil"/>
              <w:right w:val="nil"/>
            </w:tcBorders>
            <w:shd w:val="clear" w:color="auto" w:fill="auto"/>
            <w:hideMark/>
          </w:tcPr>
          <w:p w14:paraId="3BFFC726"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 xml:space="preserve">FBS </w:t>
            </w:r>
          </w:p>
        </w:tc>
        <w:tc>
          <w:tcPr>
            <w:tcW w:w="6615" w:type="dxa"/>
            <w:tcBorders>
              <w:top w:val="nil"/>
              <w:left w:val="nil"/>
              <w:bottom w:val="nil"/>
              <w:right w:val="nil"/>
            </w:tcBorders>
            <w:shd w:val="clear" w:color="auto" w:fill="auto"/>
            <w:hideMark/>
          </w:tcPr>
          <w:p w14:paraId="5E87C928"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École d</w:t>
            </w:r>
            <w:r>
              <w:rPr>
                <w:rFonts w:ascii="Arial" w:hAnsi="Arial" w:cs="Arial"/>
                <w:kern w:val="0"/>
                <w:sz w:val="24"/>
                <w:szCs w:val="24"/>
                <w:lang w:val="fr" w:eastAsia="fr-CI"/>
                <w14:ligatures w14:val="none"/>
              </w:rPr>
              <w:t xml:space="preserve">’Entrepreneuriat </w:t>
            </w:r>
            <w:r w:rsidRPr="009163C4">
              <w:rPr>
                <w:rFonts w:ascii="Arial" w:hAnsi="Arial" w:cs="Arial"/>
                <w:kern w:val="0"/>
                <w:sz w:val="24"/>
                <w:szCs w:val="24"/>
                <w:lang w:val="fr" w:eastAsia="fr-CI"/>
                <w14:ligatures w14:val="none"/>
              </w:rPr>
              <w:t>Agricole</w:t>
            </w:r>
          </w:p>
        </w:tc>
      </w:tr>
      <w:tr w:rsidR="000A6C14" w:rsidRPr="009163C4" w14:paraId="6A9F7FFC" w14:textId="77777777" w:rsidTr="00CF3208">
        <w:trPr>
          <w:trHeight w:val="360"/>
        </w:trPr>
        <w:tc>
          <w:tcPr>
            <w:tcW w:w="2070" w:type="dxa"/>
            <w:tcBorders>
              <w:top w:val="nil"/>
              <w:left w:val="nil"/>
              <w:bottom w:val="nil"/>
              <w:right w:val="nil"/>
            </w:tcBorders>
            <w:shd w:val="clear" w:color="auto" w:fill="auto"/>
            <w:hideMark/>
          </w:tcPr>
          <w:p w14:paraId="2C8C711B"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IDE</w:t>
            </w:r>
          </w:p>
        </w:tc>
        <w:tc>
          <w:tcPr>
            <w:tcW w:w="6615" w:type="dxa"/>
            <w:tcBorders>
              <w:top w:val="nil"/>
              <w:left w:val="nil"/>
              <w:bottom w:val="nil"/>
              <w:right w:val="nil"/>
            </w:tcBorders>
            <w:shd w:val="clear" w:color="auto" w:fill="auto"/>
            <w:hideMark/>
          </w:tcPr>
          <w:p w14:paraId="22DBF054"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Investissement Etranger Direct</w:t>
            </w:r>
          </w:p>
        </w:tc>
      </w:tr>
      <w:tr w:rsidR="000A6C14" w:rsidRPr="009163C4" w14:paraId="7ECC1DC7" w14:textId="77777777" w:rsidTr="00CF3208">
        <w:trPr>
          <w:trHeight w:val="360"/>
        </w:trPr>
        <w:tc>
          <w:tcPr>
            <w:tcW w:w="2070" w:type="dxa"/>
            <w:tcBorders>
              <w:top w:val="nil"/>
              <w:left w:val="nil"/>
              <w:bottom w:val="nil"/>
              <w:right w:val="nil"/>
            </w:tcBorders>
            <w:shd w:val="clear" w:color="auto" w:fill="auto"/>
            <w:hideMark/>
          </w:tcPr>
          <w:p w14:paraId="03FDCC9A"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GES</w:t>
            </w:r>
          </w:p>
        </w:tc>
        <w:tc>
          <w:tcPr>
            <w:tcW w:w="6615" w:type="dxa"/>
            <w:tcBorders>
              <w:top w:val="nil"/>
              <w:left w:val="nil"/>
              <w:bottom w:val="nil"/>
              <w:right w:val="nil"/>
            </w:tcBorders>
            <w:shd w:val="clear" w:color="auto" w:fill="auto"/>
            <w:hideMark/>
          </w:tcPr>
          <w:p w14:paraId="3A9EF28F"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Gaz à effet de serre</w:t>
            </w:r>
          </w:p>
        </w:tc>
      </w:tr>
      <w:tr w:rsidR="000A6C14" w:rsidRPr="00D82299" w14:paraId="67F93E5A" w14:textId="77777777" w:rsidTr="00CF3208">
        <w:trPr>
          <w:trHeight w:val="360"/>
        </w:trPr>
        <w:tc>
          <w:tcPr>
            <w:tcW w:w="2070" w:type="dxa"/>
            <w:tcBorders>
              <w:top w:val="nil"/>
              <w:left w:val="nil"/>
              <w:bottom w:val="nil"/>
              <w:right w:val="nil"/>
            </w:tcBorders>
            <w:shd w:val="clear" w:color="auto" w:fill="auto"/>
            <w:hideMark/>
          </w:tcPr>
          <w:p w14:paraId="779F6695"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 xml:space="preserve">GIZ (en </w:t>
            </w:r>
            <w:r>
              <w:rPr>
                <w:rFonts w:ascii="Arial" w:hAnsi="Arial" w:cs="Arial"/>
                <w:b/>
                <w:bCs/>
                <w:kern w:val="0"/>
                <w:sz w:val="24"/>
                <w:szCs w:val="24"/>
                <w:lang w:val="fr" w:eastAsia="fr-CI"/>
                <w14:ligatures w14:val="none"/>
              </w:rPr>
              <w:t>allemand</w:t>
            </w:r>
            <w:r w:rsidRPr="009163C4">
              <w:rPr>
                <w:rFonts w:ascii="Arial" w:hAnsi="Arial" w:cs="Arial"/>
                <w:b/>
                <w:bCs/>
                <w:kern w:val="0"/>
                <w:sz w:val="24"/>
                <w:szCs w:val="24"/>
                <w:lang w:val="fr" w:eastAsia="fr-CI"/>
                <w14:ligatures w14:val="none"/>
              </w:rPr>
              <w:t>)</w:t>
            </w:r>
          </w:p>
        </w:tc>
        <w:tc>
          <w:tcPr>
            <w:tcW w:w="6615" w:type="dxa"/>
            <w:tcBorders>
              <w:top w:val="nil"/>
              <w:left w:val="nil"/>
              <w:bottom w:val="nil"/>
              <w:right w:val="nil"/>
            </w:tcBorders>
            <w:shd w:val="clear" w:color="auto" w:fill="auto"/>
            <w:hideMark/>
          </w:tcPr>
          <w:p w14:paraId="392F55BE"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val="de-DE" w:eastAsia="fr-CI"/>
                <w14:ligatures w14:val="none"/>
              </w:rPr>
            </w:pPr>
            <w:r w:rsidRPr="009163C4">
              <w:rPr>
                <w:rFonts w:ascii="Arial" w:hAnsi="Arial" w:cs="Arial"/>
                <w:kern w:val="0"/>
                <w:sz w:val="24"/>
                <w:szCs w:val="24"/>
                <w:lang w:val="de-DE" w:eastAsia="fr-CI"/>
                <w14:ligatures w14:val="none"/>
              </w:rPr>
              <w:t>Deutsche Gesellschaft für Internationale Zusammenarbeit (GIZ) GmbH</w:t>
            </w:r>
          </w:p>
        </w:tc>
      </w:tr>
      <w:tr w:rsidR="000A6C14" w:rsidRPr="009163C4" w14:paraId="1649DB95" w14:textId="77777777" w:rsidTr="00CF3208">
        <w:trPr>
          <w:trHeight w:val="360"/>
        </w:trPr>
        <w:tc>
          <w:tcPr>
            <w:tcW w:w="2070" w:type="dxa"/>
            <w:tcBorders>
              <w:top w:val="nil"/>
              <w:left w:val="nil"/>
              <w:bottom w:val="nil"/>
              <w:right w:val="nil"/>
            </w:tcBorders>
            <w:shd w:val="clear" w:color="auto" w:fill="auto"/>
            <w:hideMark/>
          </w:tcPr>
          <w:p w14:paraId="5FD9E4DA" w14:textId="77777777" w:rsidR="000A6C14" w:rsidRDefault="000A6C14" w:rsidP="00CF3208">
            <w:pPr>
              <w:spacing w:after="0" w:line="240" w:lineRule="auto"/>
              <w:jc w:val="both"/>
              <w:textAlignment w:val="baseline"/>
              <w:rPr>
                <w:rFonts w:ascii="Arial" w:hAnsi="Arial" w:cs="Arial"/>
                <w:b/>
                <w:bCs/>
                <w:kern w:val="0"/>
                <w:sz w:val="24"/>
                <w:szCs w:val="24"/>
                <w:lang w:val="fr" w:eastAsia="fr-CI"/>
                <w14:ligatures w14:val="none"/>
              </w:rPr>
            </w:pPr>
            <w:proofErr w:type="spellStart"/>
            <w:r w:rsidRPr="009163C4">
              <w:rPr>
                <w:rFonts w:ascii="Arial" w:hAnsi="Arial" w:cs="Arial"/>
                <w:b/>
                <w:bCs/>
                <w:kern w:val="0"/>
                <w:sz w:val="24"/>
                <w:szCs w:val="24"/>
                <w:lang w:val="fr" w:eastAsia="fr-CI"/>
                <w14:ligatures w14:val="none"/>
              </w:rPr>
              <w:t>GmBS</w:t>
            </w:r>
            <w:proofErr w:type="spellEnd"/>
          </w:p>
          <w:p w14:paraId="452D5716" w14:textId="77777777" w:rsidR="000A6C14" w:rsidRPr="00A6649C" w:rsidRDefault="000A6C14" w:rsidP="00CF3208">
            <w:pPr>
              <w:spacing w:after="0" w:line="240" w:lineRule="auto"/>
              <w:jc w:val="both"/>
              <w:textAlignment w:val="baseline"/>
              <w:rPr>
                <w:rFonts w:ascii="Arial" w:eastAsia="Times New Roman" w:hAnsi="Arial" w:cs="Arial"/>
                <w:b/>
                <w:bCs/>
                <w:kern w:val="0"/>
                <w:sz w:val="24"/>
                <w:szCs w:val="24"/>
                <w:lang w:eastAsia="fr-CI"/>
                <w14:ligatures w14:val="none"/>
              </w:rPr>
            </w:pPr>
            <w:r w:rsidRPr="00A6649C">
              <w:rPr>
                <w:rFonts w:ascii="Arial" w:eastAsia="Times New Roman" w:hAnsi="Arial" w:cs="Arial"/>
                <w:b/>
                <w:bCs/>
                <w:kern w:val="0"/>
                <w:sz w:val="24"/>
                <w:szCs w:val="24"/>
                <w:lang w:eastAsia="fr-CI"/>
                <w14:ligatures w14:val="none"/>
              </w:rPr>
              <w:t>GHG</w:t>
            </w:r>
          </w:p>
        </w:tc>
        <w:tc>
          <w:tcPr>
            <w:tcW w:w="6615" w:type="dxa"/>
            <w:tcBorders>
              <w:top w:val="nil"/>
              <w:left w:val="nil"/>
              <w:bottom w:val="nil"/>
              <w:right w:val="nil"/>
            </w:tcBorders>
            <w:shd w:val="clear" w:color="auto" w:fill="auto"/>
            <w:hideMark/>
          </w:tcPr>
          <w:p w14:paraId="7772C34D" w14:textId="77777777" w:rsidR="000A6C14" w:rsidRDefault="000A6C14" w:rsidP="00CF3208">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Le genre a un sens pour les affaires</w:t>
            </w:r>
          </w:p>
          <w:p w14:paraId="08BB58C9"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proofErr w:type="gramStart"/>
            <w:r w:rsidRPr="00E5268D">
              <w:rPr>
                <w:rFonts w:ascii="Arial" w:eastAsia="Times New Roman" w:hAnsi="Arial" w:cs="Arial"/>
                <w:kern w:val="0"/>
                <w:sz w:val="24"/>
                <w:szCs w:val="24"/>
                <w:lang w:eastAsia="fr-CI"/>
                <w14:ligatures w14:val="none"/>
              </w:rPr>
              <w:t>gaz</w:t>
            </w:r>
            <w:proofErr w:type="gramEnd"/>
            <w:r w:rsidRPr="00E5268D">
              <w:rPr>
                <w:rFonts w:ascii="Arial" w:eastAsia="Times New Roman" w:hAnsi="Arial" w:cs="Arial"/>
                <w:kern w:val="0"/>
                <w:sz w:val="24"/>
                <w:szCs w:val="24"/>
                <w:lang w:eastAsia="fr-CI"/>
                <w14:ligatures w14:val="none"/>
              </w:rPr>
              <w:t xml:space="preserve"> à effet de serre</w:t>
            </w:r>
          </w:p>
        </w:tc>
      </w:tr>
      <w:tr w:rsidR="000A6C14" w:rsidRPr="009163C4" w14:paraId="3675D650" w14:textId="77777777" w:rsidTr="00CF3208">
        <w:trPr>
          <w:trHeight w:val="360"/>
        </w:trPr>
        <w:tc>
          <w:tcPr>
            <w:tcW w:w="2070" w:type="dxa"/>
            <w:tcBorders>
              <w:top w:val="nil"/>
              <w:left w:val="nil"/>
              <w:bottom w:val="nil"/>
              <w:right w:val="nil"/>
            </w:tcBorders>
            <w:shd w:val="clear" w:color="auto" w:fill="auto"/>
            <w:hideMark/>
          </w:tcPr>
          <w:p w14:paraId="2A799E53"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proofErr w:type="spellStart"/>
            <w:r w:rsidRPr="009163C4">
              <w:rPr>
                <w:rFonts w:ascii="Arial" w:hAnsi="Arial" w:cs="Arial"/>
                <w:b/>
                <w:bCs/>
                <w:kern w:val="0"/>
                <w:sz w:val="24"/>
                <w:szCs w:val="24"/>
                <w:lang w:val="fr" w:eastAsia="fr-CI"/>
                <w14:ligatures w14:val="none"/>
              </w:rPr>
              <w:t>iCF</w:t>
            </w:r>
            <w:proofErr w:type="spellEnd"/>
          </w:p>
        </w:tc>
        <w:tc>
          <w:tcPr>
            <w:tcW w:w="6615" w:type="dxa"/>
            <w:tcBorders>
              <w:top w:val="nil"/>
              <w:left w:val="nil"/>
              <w:bottom w:val="nil"/>
              <w:right w:val="nil"/>
            </w:tcBorders>
            <w:shd w:val="clear" w:color="auto" w:fill="auto"/>
            <w:hideMark/>
          </w:tcPr>
          <w:p w14:paraId="16BB9CAA"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Intégration de l'agriculture contractuelle</w:t>
            </w:r>
          </w:p>
        </w:tc>
      </w:tr>
      <w:tr w:rsidR="000A6C14" w:rsidRPr="009163C4" w14:paraId="540521DD" w14:textId="77777777" w:rsidTr="00CF3208">
        <w:trPr>
          <w:trHeight w:val="360"/>
        </w:trPr>
        <w:tc>
          <w:tcPr>
            <w:tcW w:w="2070" w:type="dxa"/>
            <w:tcBorders>
              <w:top w:val="nil"/>
              <w:left w:val="nil"/>
              <w:bottom w:val="nil"/>
              <w:right w:val="nil"/>
            </w:tcBorders>
            <w:shd w:val="clear" w:color="auto" w:fill="auto"/>
            <w:hideMark/>
          </w:tcPr>
          <w:p w14:paraId="61AB8983"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proofErr w:type="spellStart"/>
            <w:r w:rsidRPr="009163C4">
              <w:rPr>
                <w:rFonts w:ascii="Arial" w:hAnsi="Arial" w:cs="Arial"/>
                <w:b/>
                <w:bCs/>
                <w:kern w:val="0"/>
                <w:sz w:val="24"/>
                <w:szCs w:val="24"/>
                <w:lang w:val="fr" w:eastAsia="fr-CI"/>
                <w14:ligatures w14:val="none"/>
              </w:rPr>
              <w:t>iDPP</w:t>
            </w:r>
            <w:proofErr w:type="spellEnd"/>
          </w:p>
        </w:tc>
        <w:tc>
          <w:tcPr>
            <w:tcW w:w="6615" w:type="dxa"/>
            <w:tcBorders>
              <w:top w:val="nil"/>
              <w:left w:val="nil"/>
              <w:bottom w:val="nil"/>
              <w:right w:val="nil"/>
            </w:tcBorders>
            <w:shd w:val="clear" w:color="auto" w:fill="auto"/>
            <w:hideMark/>
          </w:tcPr>
          <w:p w14:paraId="0CC74740"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Partenariats intégrés pour le développement avec le secteur privé</w:t>
            </w:r>
          </w:p>
        </w:tc>
      </w:tr>
      <w:tr w:rsidR="000A6C14" w:rsidRPr="009163C4" w14:paraId="29D8B915" w14:textId="77777777" w:rsidTr="00CF3208">
        <w:trPr>
          <w:trHeight w:val="360"/>
        </w:trPr>
        <w:tc>
          <w:tcPr>
            <w:tcW w:w="2070" w:type="dxa"/>
            <w:tcBorders>
              <w:top w:val="nil"/>
              <w:left w:val="nil"/>
              <w:bottom w:val="nil"/>
              <w:right w:val="nil"/>
            </w:tcBorders>
            <w:shd w:val="clear" w:color="auto" w:fill="auto"/>
            <w:hideMark/>
          </w:tcPr>
          <w:p w14:paraId="63F0FD4A"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ITC</w:t>
            </w:r>
          </w:p>
        </w:tc>
        <w:tc>
          <w:tcPr>
            <w:tcW w:w="6615" w:type="dxa"/>
            <w:tcBorders>
              <w:top w:val="nil"/>
              <w:left w:val="nil"/>
              <w:bottom w:val="nil"/>
              <w:right w:val="nil"/>
            </w:tcBorders>
            <w:shd w:val="clear" w:color="auto" w:fill="auto"/>
            <w:hideMark/>
          </w:tcPr>
          <w:p w14:paraId="2F31F034"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Centre du commerce international</w:t>
            </w:r>
          </w:p>
        </w:tc>
      </w:tr>
      <w:tr w:rsidR="000A6C14" w:rsidRPr="009163C4" w14:paraId="66BCE06E" w14:textId="77777777" w:rsidTr="00CF3208">
        <w:trPr>
          <w:trHeight w:val="360"/>
        </w:trPr>
        <w:tc>
          <w:tcPr>
            <w:tcW w:w="2070" w:type="dxa"/>
            <w:tcBorders>
              <w:top w:val="nil"/>
              <w:left w:val="nil"/>
              <w:bottom w:val="nil"/>
              <w:right w:val="nil"/>
            </w:tcBorders>
            <w:shd w:val="clear" w:color="auto" w:fill="auto"/>
            <w:hideMark/>
          </w:tcPr>
          <w:p w14:paraId="7A412B53"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LCU</w:t>
            </w:r>
          </w:p>
        </w:tc>
        <w:tc>
          <w:tcPr>
            <w:tcW w:w="6615" w:type="dxa"/>
            <w:tcBorders>
              <w:top w:val="nil"/>
              <w:left w:val="nil"/>
              <w:bottom w:val="nil"/>
              <w:right w:val="nil"/>
            </w:tcBorders>
            <w:shd w:val="clear" w:color="auto" w:fill="auto"/>
            <w:hideMark/>
          </w:tcPr>
          <w:p w14:paraId="3128010B"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highlight w:val="yellow"/>
                <w:lang w:eastAsia="fr-CI"/>
                <w14:ligatures w14:val="none"/>
              </w:rPr>
            </w:pPr>
            <w:r w:rsidRPr="009163C4">
              <w:rPr>
                <w:rFonts w:ascii="Arial" w:hAnsi="Arial" w:cs="Arial"/>
                <w:kern w:val="0"/>
                <w:sz w:val="24"/>
                <w:szCs w:val="24"/>
                <w:lang w:val="fr" w:eastAsia="fr-CI"/>
                <w14:ligatures w14:val="none"/>
              </w:rPr>
              <w:t>Unité monétaire locale</w:t>
            </w:r>
          </w:p>
        </w:tc>
      </w:tr>
      <w:tr w:rsidR="000A6C14" w:rsidRPr="009163C4" w14:paraId="0F15C597" w14:textId="77777777" w:rsidTr="00CF3208">
        <w:trPr>
          <w:trHeight w:val="360"/>
        </w:trPr>
        <w:tc>
          <w:tcPr>
            <w:tcW w:w="2070" w:type="dxa"/>
            <w:tcBorders>
              <w:top w:val="nil"/>
              <w:left w:val="nil"/>
              <w:bottom w:val="nil"/>
              <w:right w:val="nil"/>
            </w:tcBorders>
            <w:shd w:val="clear" w:color="auto" w:fill="auto"/>
            <w:hideMark/>
          </w:tcPr>
          <w:p w14:paraId="76FAC934" w14:textId="77777777" w:rsidR="000A6C14" w:rsidRPr="009163C4" w:rsidRDefault="000A6C14" w:rsidP="00CF3208">
            <w:pPr>
              <w:spacing w:after="0" w:line="240" w:lineRule="auto"/>
              <w:jc w:val="both"/>
              <w:textAlignment w:val="baseline"/>
              <w:rPr>
                <w:rFonts w:ascii="Arial" w:eastAsia="Times New Roman" w:hAnsi="Arial" w:cs="Arial"/>
                <w:b/>
                <w:bCs/>
                <w:kern w:val="0"/>
                <w:sz w:val="24"/>
                <w:szCs w:val="24"/>
                <w:lang w:eastAsia="fr-CI"/>
                <w14:ligatures w14:val="none"/>
              </w:rPr>
            </w:pPr>
            <w:r w:rsidRPr="009163C4">
              <w:rPr>
                <w:rFonts w:ascii="Arial" w:eastAsia="Times New Roman" w:hAnsi="Arial" w:cs="Arial"/>
                <w:b/>
                <w:bCs/>
                <w:kern w:val="0"/>
                <w:sz w:val="24"/>
                <w:szCs w:val="24"/>
                <w:lang w:eastAsia="fr-CI"/>
                <w14:ligatures w14:val="none"/>
              </w:rPr>
              <w:t>MGF</w:t>
            </w:r>
          </w:p>
        </w:tc>
        <w:tc>
          <w:tcPr>
            <w:tcW w:w="6615" w:type="dxa"/>
            <w:tcBorders>
              <w:top w:val="nil"/>
              <w:left w:val="nil"/>
              <w:bottom w:val="nil"/>
              <w:right w:val="nil"/>
            </w:tcBorders>
            <w:shd w:val="clear" w:color="auto" w:fill="auto"/>
            <w:hideMark/>
          </w:tcPr>
          <w:p w14:paraId="0E05C9A7"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Fonds de contrepartie</w:t>
            </w:r>
            <w:r>
              <w:rPr>
                <w:rFonts w:ascii="Arial" w:hAnsi="Arial" w:cs="Arial"/>
                <w:kern w:val="0"/>
                <w:sz w:val="24"/>
                <w:szCs w:val="24"/>
                <w:lang w:val="fr" w:eastAsia="fr-CI"/>
                <w14:ligatures w14:val="none"/>
              </w:rPr>
              <w:t xml:space="preserve"> compétitif </w:t>
            </w:r>
          </w:p>
        </w:tc>
      </w:tr>
      <w:tr w:rsidR="000A6C14" w:rsidRPr="009163C4" w14:paraId="0210D0C4" w14:textId="77777777" w:rsidTr="00CF3208">
        <w:trPr>
          <w:trHeight w:val="360"/>
        </w:trPr>
        <w:tc>
          <w:tcPr>
            <w:tcW w:w="2070" w:type="dxa"/>
            <w:tcBorders>
              <w:top w:val="nil"/>
              <w:left w:val="nil"/>
              <w:bottom w:val="nil"/>
              <w:right w:val="nil"/>
            </w:tcBorders>
            <w:shd w:val="clear" w:color="auto" w:fill="auto"/>
            <w:hideMark/>
          </w:tcPr>
          <w:p w14:paraId="5149F4FE"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lastRenderedPageBreak/>
              <w:t>MOVE</w:t>
            </w:r>
          </w:p>
        </w:tc>
        <w:tc>
          <w:tcPr>
            <w:tcW w:w="6615" w:type="dxa"/>
            <w:tcBorders>
              <w:top w:val="nil"/>
              <w:left w:val="nil"/>
              <w:bottom w:val="nil"/>
              <w:right w:val="nil"/>
            </w:tcBorders>
            <w:shd w:val="clear" w:color="auto" w:fill="auto"/>
            <w:hideMark/>
          </w:tcPr>
          <w:p w14:paraId="1D488486"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Chaînes de valeur axées sur le marché pour l’emploi et la croissance dans la région de la CEDEAO</w:t>
            </w:r>
          </w:p>
        </w:tc>
      </w:tr>
      <w:tr w:rsidR="000A6C14" w:rsidRPr="009163C4" w14:paraId="2088218F" w14:textId="77777777" w:rsidTr="00CF3208">
        <w:trPr>
          <w:trHeight w:val="360"/>
        </w:trPr>
        <w:tc>
          <w:tcPr>
            <w:tcW w:w="2070" w:type="dxa"/>
            <w:tcBorders>
              <w:top w:val="nil"/>
              <w:left w:val="nil"/>
              <w:bottom w:val="nil"/>
              <w:right w:val="nil"/>
            </w:tcBorders>
            <w:shd w:val="clear" w:color="auto" w:fill="auto"/>
            <w:hideMark/>
          </w:tcPr>
          <w:p w14:paraId="5A2598A3" w14:textId="77777777" w:rsidR="000A6C14" w:rsidRDefault="000A6C14" w:rsidP="00CF3208">
            <w:pPr>
              <w:spacing w:after="0" w:line="240" w:lineRule="auto"/>
              <w:jc w:val="both"/>
              <w:textAlignment w:val="baseline"/>
              <w:rPr>
                <w:rFonts w:ascii="Arial" w:hAnsi="Arial" w:cs="Arial"/>
                <w:b/>
                <w:bCs/>
                <w:kern w:val="0"/>
                <w:sz w:val="24"/>
                <w:szCs w:val="24"/>
                <w:lang w:val="fr" w:eastAsia="fr-CI"/>
                <w14:ligatures w14:val="none"/>
              </w:rPr>
            </w:pPr>
            <w:r w:rsidRPr="009163C4">
              <w:rPr>
                <w:rFonts w:ascii="Arial" w:hAnsi="Arial" w:cs="Arial"/>
                <w:b/>
                <w:bCs/>
                <w:kern w:val="0"/>
                <w:sz w:val="24"/>
                <w:szCs w:val="24"/>
                <w:lang w:val="fr" w:eastAsia="fr-CI"/>
                <w14:ligatures w14:val="none"/>
              </w:rPr>
              <w:t>MSME</w:t>
            </w:r>
          </w:p>
          <w:p w14:paraId="6F5D9036"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Pr>
                <w:rFonts w:ascii="Arial" w:eastAsia="Times New Roman" w:hAnsi="Arial" w:cs="Arial"/>
                <w:b/>
                <w:bCs/>
                <w:kern w:val="0"/>
                <w:sz w:val="24"/>
                <w:szCs w:val="24"/>
                <w:lang w:eastAsia="fr-CI"/>
                <w14:ligatures w14:val="none"/>
              </w:rPr>
              <w:t>OEACP</w:t>
            </w:r>
          </w:p>
        </w:tc>
        <w:tc>
          <w:tcPr>
            <w:tcW w:w="6615" w:type="dxa"/>
            <w:tcBorders>
              <w:top w:val="nil"/>
              <w:left w:val="nil"/>
              <w:bottom w:val="nil"/>
              <w:right w:val="nil"/>
            </w:tcBorders>
            <w:shd w:val="clear" w:color="auto" w:fill="auto"/>
            <w:hideMark/>
          </w:tcPr>
          <w:p w14:paraId="73726724" w14:textId="77777777" w:rsidR="000A6C14" w:rsidRDefault="000A6C14" w:rsidP="00CF3208">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Micro, petites et moyennes entreprises</w:t>
            </w:r>
          </w:p>
          <w:p w14:paraId="06EBD647"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1C7D75">
              <w:rPr>
                <w:rFonts w:ascii="Arial" w:eastAsia="Times New Roman" w:hAnsi="Arial" w:cs="Arial"/>
                <w:kern w:val="0"/>
                <w:sz w:val="24"/>
                <w:szCs w:val="24"/>
                <w:lang w:eastAsia="fr-CI"/>
                <w14:ligatures w14:val="none"/>
              </w:rPr>
              <w:t>Organisation des États d’Afrique, des Caraïbes et du Pacifique</w:t>
            </w:r>
          </w:p>
        </w:tc>
      </w:tr>
      <w:tr w:rsidR="000A6C14" w:rsidRPr="009163C4" w14:paraId="2A35EF34" w14:textId="77777777" w:rsidTr="00CF3208">
        <w:trPr>
          <w:trHeight w:val="360"/>
        </w:trPr>
        <w:tc>
          <w:tcPr>
            <w:tcW w:w="2070" w:type="dxa"/>
            <w:tcBorders>
              <w:top w:val="nil"/>
              <w:left w:val="nil"/>
              <w:bottom w:val="nil"/>
              <w:right w:val="nil"/>
            </w:tcBorders>
            <w:shd w:val="clear" w:color="auto" w:fill="auto"/>
            <w:hideMark/>
          </w:tcPr>
          <w:p w14:paraId="217C3488"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PBS</w:t>
            </w:r>
          </w:p>
        </w:tc>
        <w:tc>
          <w:tcPr>
            <w:tcW w:w="6615" w:type="dxa"/>
            <w:tcBorders>
              <w:top w:val="nil"/>
              <w:left w:val="nil"/>
              <w:bottom w:val="nil"/>
              <w:right w:val="nil"/>
            </w:tcBorders>
            <w:shd w:val="clear" w:color="auto" w:fill="auto"/>
            <w:hideMark/>
          </w:tcPr>
          <w:p w14:paraId="34F8071F"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École de commerce de transformateurs</w:t>
            </w:r>
          </w:p>
        </w:tc>
      </w:tr>
      <w:tr w:rsidR="000A6C14" w:rsidRPr="009163C4" w14:paraId="4C894577" w14:textId="77777777" w:rsidTr="00CF3208">
        <w:trPr>
          <w:trHeight w:val="360"/>
        </w:trPr>
        <w:tc>
          <w:tcPr>
            <w:tcW w:w="2070" w:type="dxa"/>
            <w:tcBorders>
              <w:top w:val="nil"/>
              <w:left w:val="nil"/>
              <w:bottom w:val="nil"/>
              <w:right w:val="nil"/>
            </w:tcBorders>
            <w:shd w:val="clear" w:color="auto" w:fill="auto"/>
            <w:hideMark/>
          </w:tcPr>
          <w:p w14:paraId="7226678B"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RCN</w:t>
            </w:r>
          </w:p>
        </w:tc>
        <w:tc>
          <w:tcPr>
            <w:tcW w:w="6615" w:type="dxa"/>
            <w:tcBorders>
              <w:top w:val="nil"/>
              <w:left w:val="nil"/>
              <w:bottom w:val="nil"/>
              <w:right w:val="nil"/>
            </w:tcBorders>
            <w:shd w:val="clear" w:color="auto" w:fill="auto"/>
            <w:hideMark/>
          </w:tcPr>
          <w:p w14:paraId="465F2E8A"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Noix de Cajou Brut</w:t>
            </w:r>
          </w:p>
        </w:tc>
      </w:tr>
      <w:tr w:rsidR="000A6C14" w:rsidRPr="009163C4" w14:paraId="17504DBE" w14:textId="77777777" w:rsidTr="00CF3208">
        <w:trPr>
          <w:trHeight w:val="360"/>
        </w:trPr>
        <w:tc>
          <w:tcPr>
            <w:tcW w:w="2070" w:type="dxa"/>
            <w:tcBorders>
              <w:top w:val="nil"/>
              <w:left w:val="nil"/>
              <w:bottom w:val="nil"/>
              <w:right w:val="nil"/>
            </w:tcBorders>
            <w:shd w:val="clear" w:color="auto" w:fill="auto"/>
            <w:hideMark/>
          </w:tcPr>
          <w:p w14:paraId="493ABE32"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REC</w:t>
            </w:r>
          </w:p>
        </w:tc>
        <w:tc>
          <w:tcPr>
            <w:tcW w:w="6615" w:type="dxa"/>
            <w:tcBorders>
              <w:top w:val="nil"/>
              <w:left w:val="nil"/>
              <w:bottom w:val="nil"/>
              <w:right w:val="nil"/>
            </w:tcBorders>
            <w:shd w:val="clear" w:color="auto" w:fill="auto"/>
            <w:hideMark/>
          </w:tcPr>
          <w:p w14:paraId="6D9F6771"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Communautés économiques régionales</w:t>
            </w:r>
          </w:p>
        </w:tc>
      </w:tr>
      <w:tr w:rsidR="000A6C14" w:rsidRPr="009163C4" w14:paraId="5A0C7528" w14:textId="77777777" w:rsidTr="00CF3208">
        <w:trPr>
          <w:trHeight w:val="360"/>
        </w:trPr>
        <w:tc>
          <w:tcPr>
            <w:tcW w:w="2070" w:type="dxa"/>
            <w:tcBorders>
              <w:top w:val="nil"/>
              <w:left w:val="nil"/>
              <w:bottom w:val="nil"/>
              <w:right w:val="nil"/>
            </w:tcBorders>
            <w:shd w:val="clear" w:color="auto" w:fill="auto"/>
            <w:hideMark/>
          </w:tcPr>
          <w:p w14:paraId="7EC336E1"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ROM</w:t>
            </w:r>
          </w:p>
        </w:tc>
        <w:tc>
          <w:tcPr>
            <w:tcW w:w="6615" w:type="dxa"/>
            <w:tcBorders>
              <w:top w:val="nil"/>
              <w:left w:val="nil"/>
              <w:bottom w:val="nil"/>
              <w:right w:val="nil"/>
            </w:tcBorders>
            <w:shd w:val="clear" w:color="auto" w:fill="auto"/>
            <w:hideMark/>
          </w:tcPr>
          <w:p w14:paraId="221D532C"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Examen de la gestion axée sur les résultats</w:t>
            </w:r>
          </w:p>
        </w:tc>
      </w:tr>
      <w:tr w:rsidR="000A6C14" w:rsidRPr="009163C4" w14:paraId="27D4EF35" w14:textId="77777777" w:rsidTr="00CF3208">
        <w:trPr>
          <w:trHeight w:val="360"/>
        </w:trPr>
        <w:tc>
          <w:tcPr>
            <w:tcW w:w="2070" w:type="dxa"/>
            <w:tcBorders>
              <w:top w:val="nil"/>
              <w:left w:val="nil"/>
              <w:bottom w:val="nil"/>
              <w:right w:val="nil"/>
            </w:tcBorders>
            <w:shd w:val="clear" w:color="auto" w:fill="auto"/>
            <w:hideMark/>
          </w:tcPr>
          <w:p w14:paraId="2AF765E3"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SADC</w:t>
            </w:r>
          </w:p>
        </w:tc>
        <w:tc>
          <w:tcPr>
            <w:tcW w:w="6615" w:type="dxa"/>
            <w:tcBorders>
              <w:top w:val="nil"/>
              <w:left w:val="nil"/>
              <w:bottom w:val="nil"/>
              <w:right w:val="nil"/>
            </w:tcBorders>
            <w:shd w:val="clear" w:color="auto" w:fill="auto"/>
            <w:hideMark/>
          </w:tcPr>
          <w:p w14:paraId="700C6D95"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highlight w:val="yellow"/>
                <w:lang w:eastAsia="fr-CI"/>
                <w14:ligatures w14:val="none"/>
              </w:rPr>
            </w:pPr>
            <w:r w:rsidRPr="009163C4">
              <w:rPr>
                <w:rFonts w:ascii="Arial" w:hAnsi="Arial" w:cs="Arial"/>
                <w:kern w:val="0"/>
                <w:sz w:val="24"/>
                <w:szCs w:val="24"/>
                <w:lang w:val="fr" w:eastAsia="fr-CI"/>
                <w14:ligatures w14:val="none"/>
              </w:rPr>
              <w:t>Communauté de développement de l’Afrique australe</w:t>
            </w:r>
          </w:p>
        </w:tc>
      </w:tr>
      <w:tr w:rsidR="000A6C14" w:rsidRPr="009163C4" w14:paraId="62431B54" w14:textId="77777777" w:rsidTr="00CF3208">
        <w:trPr>
          <w:trHeight w:val="360"/>
        </w:trPr>
        <w:tc>
          <w:tcPr>
            <w:tcW w:w="2070" w:type="dxa"/>
            <w:tcBorders>
              <w:top w:val="nil"/>
              <w:left w:val="nil"/>
              <w:bottom w:val="nil"/>
              <w:right w:val="nil"/>
            </w:tcBorders>
            <w:shd w:val="clear" w:color="auto" w:fill="auto"/>
            <w:hideMark/>
          </w:tcPr>
          <w:p w14:paraId="2EE98452"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SNI</w:t>
            </w:r>
          </w:p>
        </w:tc>
        <w:tc>
          <w:tcPr>
            <w:tcW w:w="6615" w:type="dxa"/>
            <w:tcBorders>
              <w:top w:val="nil"/>
              <w:left w:val="nil"/>
              <w:bottom w:val="nil"/>
              <w:right w:val="nil"/>
            </w:tcBorders>
            <w:shd w:val="clear" w:color="auto" w:fill="auto"/>
            <w:hideMark/>
          </w:tcPr>
          <w:p w14:paraId="4F85FCE1"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highlight w:val="yellow"/>
                <w:lang w:eastAsia="fr-CI"/>
                <w14:ligatures w14:val="none"/>
              </w:rPr>
            </w:pPr>
            <w:r w:rsidRPr="009163C4">
              <w:rPr>
                <w:rFonts w:ascii="Arial" w:hAnsi="Arial" w:cs="Arial"/>
                <w:kern w:val="0"/>
                <w:sz w:val="24"/>
                <w:szCs w:val="24"/>
                <w:lang w:val="fr" w:eastAsia="fr-CI"/>
                <w14:ligatures w14:val="none"/>
              </w:rPr>
              <w:t>Initiative pour des noix durables</w:t>
            </w:r>
          </w:p>
        </w:tc>
      </w:tr>
      <w:tr w:rsidR="000A6C14" w:rsidRPr="009163C4" w14:paraId="2377CE3A" w14:textId="77777777" w:rsidTr="00CF3208">
        <w:trPr>
          <w:trHeight w:val="300"/>
        </w:trPr>
        <w:tc>
          <w:tcPr>
            <w:tcW w:w="2070" w:type="dxa"/>
            <w:tcBorders>
              <w:top w:val="nil"/>
              <w:left w:val="nil"/>
              <w:bottom w:val="nil"/>
              <w:right w:val="nil"/>
            </w:tcBorders>
            <w:shd w:val="clear" w:color="auto" w:fill="auto"/>
            <w:hideMark/>
          </w:tcPr>
          <w:p w14:paraId="437C4C51"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VC</w:t>
            </w:r>
          </w:p>
        </w:tc>
        <w:tc>
          <w:tcPr>
            <w:tcW w:w="6615" w:type="dxa"/>
            <w:tcBorders>
              <w:top w:val="nil"/>
              <w:left w:val="nil"/>
              <w:bottom w:val="nil"/>
              <w:right w:val="nil"/>
            </w:tcBorders>
            <w:shd w:val="clear" w:color="auto" w:fill="auto"/>
            <w:hideMark/>
          </w:tcPr>
          <w:p w14:paraId="1288A15C"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Chaîne de valeur</w:t>
            </w:r>
          </w:p>
          <w:p w14:paraId="1EA30969"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FACC374"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1D32FD4"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DDEA711"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1BC02DA"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34C65092"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370DAFAE"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3197A5C"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tc>
      </w:tr>
    </w:tbl>
    <w:p w14:paraId="462F4064"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1DC61472" w14:textId="77777777" w:rsidR="000A6C14" w:rsidRPr="00826156" w:rsidRDefault="000A6C14" w:rsidP="000A6C14">
      <w:pPr>
        <w:spacing w:after="0" w:line="240" w:lineRule="auto"/>
        <w:jc w:val="both"/>
        <w:textAlignment w:val="baseline"/>
        <w:rPr>
          <w:rFonts w:ascii="Arial" w:eastAsia="Times New Roman" w:hAnsi="Arial" w:cs="Arial"/>
          <w:b/>
          <w:bCs/>
          <w:color w:val="808080"/>
          <w:kern w:val="0"/>
          <w:sz w:val="28"/>
          <w:szCs w:val="28"/>
          <w:lang w:eastAsia="fr-CI"/>
          <w14:ligatures w14:val="none"/>
        </w:rPr>
      </w:pPr>
      <w:r w:rsidRPr="009163C4">
        <w:rPr>
          <w:rFonts w:ascii="Arial" w:eastAsia="Times New Roman" w:hAnsi="Arial" w:cs="Arial"/>
          <w:b/>
          <w:bCs/>
          <w:kern w:val="0"/>
          <w:sz w:val="24"/>
          <w:szCs w:val="24"/>
          <w:lang w:eastAsia="fr-CI"/>
          <w14:ligatures w14:val="none"/>
        </w:rPr>
        <w:t> </w:t>
      </w:r>
    </w:p>
    <w:p w14:paraId="530B2444" w14:textId="77777777" w:rsidR="000A6C14" w:rsidRPr="00826156" w:rsidRDefault="000A6C14" w:rsidP="000A6C14">
      <w:pPr>
        <w:spacing w:after="0" w:line="240" w:lineRule="auto"/>
        <w:jc w:val="both"/>
        <w:textAlignment w:val="baseline"/>
        <w:rPr>
          <w:rFonts w:ascii="Arial" w:eastAsia="Times New Roman" w:hAnsi="Arial" w:cs="Arial"/>
          <w:b/>
          <w:bCs/>
          <w:color w:val="808080"/>
          <w:kern w:val="0"/>
          <w:sz w:val="28"/>
          <w:szCs w:val="28"/>
          <w:lang w:eastAsia="fr-CI"/>
          <w14:ligatures w14:val="none"/>
        </w:rPr>
      </w:pPr>
      <w:r w:rsidRPr="00826156">
        <w:rPr>
          <w:rFonts w:ascii="Arial" w:hAnsi="Arial" w:cs="Arial"/>
          <w:b/>
          <w:bCs/>
          <w:color w:val="808080"/>
          <w:kern w:val="0"/>
          <w:sz w:val="28"/>
          <w:szCs w:val="28"/>
          <w:lang w:val="fr" w:eastAsia="fr-CI"/>
          <w14:ligatures w14:val="none"/>
        </w:rPr>
        <w:t>Section 1 : Introduction</w:t>
      </w:r>
    </w:p>
    <w:p w14:paraId="6D7B3026"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9F30DC7" w14:textId="77777777" w:rsidR="000A6C14" w:rsidRDefault="000A6C14" w:rsidP="000A6C14">
      <w:pPr>
        <w:spacing w:after="0" w:line="240" w:lineRule="auto"/>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Travaillez-vous dans le secteur du cajou ? Travaillez-vous dans le secteur privé et êtes-vous intéressé par la résilience climatique, la compétitivité et les liens d'approvisionnement directs avec les acheteurs pour assurer la durabilité ?  </w:t>
      </w:r>
    </w:p>
    <w:p w14:paraId="6C645B64" w14:textId="77777777" w:rsidR="000A6C14" w:rsidRPr="009163C4" w:rsidRDefault="000A6C14" w:rsidP="000A6C14">
      <w:pPr>
        <w:spacing w:after="0" w:line="240" w:lineRule="auto"/>
        <w:textAlignment w:val="baseline"/>
        <w:rPr>
          <w:rFonts w:ascii="Arial" w:hAnsi="Arial" w:cs="Arial"/>
          <w:kern w:val="0"/>
          <w:sz w:val="24"/>
          <w:szCs w:val="24"/>
          <w:lang w:val="fr" w:eastAsia="fr-CI"/>
          <w14:ligatures w14:val="none"/>
        </w:rPr>
      </w:pPr>
    </w:p>
    <w:p w14:paraId="6112EBD6" w14:textId="77777777" w:rsidR="000A6C14" w:rsidRDefault="000A6C14" w:rsidP="000A6C14">
      <w:pPr>
        <w:spacing w:after="0" w:line="240" w:lineRule="auto"/>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Avez-vous une solution pour rendre le secteur du cajou moins fragmenté, plus inclusif (pour les femmes et les jeunes), durable et rentable ? </w:t>
      </w:r>
    </w:p>
    <w:p w14:paraId="2DEE48C9" w14:textId="77777777" w:rsidR="000A6C14" w:rsidRPr="009163C4" w:rsidRDefault="000A6C14" w:rsidP="000A6C14">
      <w:pPr>
        <w:spacing w:after="0" w:line="240" w:lineRule="auto"/>
        <w:textAlignment w:val="baseline"/>
        <w:rPr>
          <w:rFonts w:ascii="Arial" w:hAnsi="Arial" w:cs="Arial"/>
          <w:kern w:val="0"/>
          <w:sz w:val="24"/>
          <w:szCs w:val="24"/>
          <w:lang w:val="fr" w:eastAsia="fr-CI"/>
          <w14:ligatures w14:val="none"/>
        </w:rPr>
      </w:pPr>
    </w:p>
    <w:p w14:paraId="296B0AE8" w14:textId="77777777" w:rsidR="000A6C14" w:rsidRDefault="000A6C14" w:rsidP="000A6C14">
      <w:pPr>
        <w:spacing w:after="0" w:line="240" w:lineRule="auto"/>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Avez-vous des idées innovantes pour l'utilisation du cajou et de ses sous-produits ?</w:t>
      </w:r>
    </w:p>
    <w:p w14:paraId="0A8E2F7D" w14:textId="77777777" w:rsidR="000A6C14" w:rsidRPr="009163C4" w:rsidRDefault="000A6C14" w:rsidP="000A6C14">
      <w:pPr>
        <w:spacing w:after="0" w:line="240" w:lineRule="auto"/>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 </w:t>
      </w:r>
    </w:p>
    <w:p w14:paraId="0BC093A6"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Alors voici une occasion unique de réaliser votre projet !</w:t>
      </w:r>
    </w:p>
    <w:p w14:paraId="75ECF47C"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1E6C2732" w14:textId="77777777" w:rsidR="000A6C14" w:rsidRPr="009163C4" w:rsidRDefault="000A6C14" w:rsidP="000A6C14">
      <w:pPr>
        <w:spacing w:after="0" w:line="240" w:lineRule="auto"/>
        <w:textAlignment w:val="baseline"/>
        <w:rPr>
          <w:rFonts w:ascii="Arial" w:hAnsi="Arial" w:cs="Arial"/>
          <w:b/>
          <w:bCs/>
          <w:color w:val="000000"/>
          <w:kern w:val="0"/>
          <w:sz w:val="24"/>
          <w:szCs w:val="24"/>
          <w:lang w:val="fr" w:eastAsia="fr-CI"/>
          <w14:ligatures w14:val="none"/>
        </w:rPr>
      </w:pPr>
      <w:r w:rsidRPr="009163C4">
        <w:rPr>
          <w:rFonts w:ascii="Arial" w:hAnsi="Arial" w:cs="Arial"/>
          <w:b/>
          <w:bCs/>
          <w:color w:val="000000"/>
          <w:kern w:val="0"/>
          <w:sz w:val="24"/>
          <w:szCs w:val="24"/>
          <w:lang w:val="fr" w:eastAsia="fr-CI"/>
          <w14:ligatures w14:val="none"/>
        </w:rPr>
        <w:t xml:space="preserve">Ce document résume les principales étapes à suivre pour postuler au Fonds de contrepartie pour le cajou, qui vous permettra d'obtenir un financement pour promouvoir votre entreprise.  </w:t>
      </w:r>
    </w:p>
    <w:p w14:paraId="36285D3D" w14:textId="77777777" w:rsidR="000A6C14" w:rsidRDefault="000A6C14" w:rsidP="000A6C14">
      <w:pPr>
        <w:spacing w:after="0" w:line="240" w:lineRule="auto"/>
        <w:textAlignment w:val="baseline"/>
        <w:rPr>
          <w:rFonts w:ascii="Arial" w:hAnsi="Arial" w:cs="Arial"/>
          <w:b/>
          <w:bCs/>
          <w:color w:val="000000"/>
          <w:kern w:val="0"/>
          <w:sz w:val="24"/>
          <w:szCs w:val="24"/>
          <w:lang w:val="fr" w:eastAsia="fr-CI"/>
          <w14:ligatures w14:val="none"/>
        </w:rPr>
      </w:pPr>
    </w:p>
    <w:p w14:paraId="458DD037" w14:textId="77777777" w:rsidR="000A6C14" w:rsidRPr="009163C4" w:rsidRDefault="000A6C14" w:rsidP="000A6C14">
      <w:pPr>
        <w:spacing w:after="0" w:line="240" w:lineRule="auto"/>
        <w:textAlignment w:val="baseline"/>
        <w:rPr>
          <w:rFonts w:ascii="Arial" w:hAnsi="Arial" w:cs="Arial"/>
          <w:b/>
          <w:bCs/>
          <w:color w:val="000000"/>
          <w:kern w:val="0"/>
          <w:sz w:val="24"/>
          <w:szCs w:val="24"/>
          <w:lang w:val="fr" w:eastAsia="fr-CI"/>
          <w14:ligatures w14:val="none"/>
        </w:rPr>
      </w:pPr>
      <w:r w:rsidRPr="009163C4">
        <w:rPr>
          <w:rFonts w:ascii="Arial" w:hAnsi="Arial" w:cs="Arial"/>
          <w:b/>
          <w:bCs/>
          <w:color w:val="000000"/>
          <w:kern w:val="0"/>
          <w:sz w:val="24"/>
          <w:szCs w:val="24"/>
          <w:lang w:val="fr" w:eastAsia="fr-CI"/>
          <w14:ligatures w14:val="none"/>
        </w:rPr>
        <w:t>Nous vous invitons à poursuivre votre lecture pour plus d'informations. Mais avant de poursuivre, assurez-vous d'avoir pris connaissance du Programme de préparation du Fonds de contrepartie pour le cajou et tous les documents connexes.</w:t>
      </w:r>
      <w:r w:rsidRPr="009163C4">
        <w:rPr>
          <w:rFonts w:ascii="Arial" w:eastAsia="Times New Roman" w:hAnsi="Arial" w:cs="Arial"/>
          <w:kern w:val="0"/>
          <w:sz w:val="24"/>
          <w:szCs w:val="24"/>
          <w:lang w:eastAsia="fr-CI"/>
          <w14:ligatures w14:val="none"/>
        </w:rPr>
        <w:t> </w:t>
      </w:r>
    </w:p>
    <w:p w14:paraId="6C79ACC3"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12E5AC6E" w14:textId="77777777" w:rsidR="000A6C1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1014A78B" w14:textId="77777777" w:rsidR="000A6C14" w:rsidRPr="000C7125" w:rsidRDefault="000A6C14" w:rsidP="000A6C14">
      <w:pPr>
        <w:spacing w:after="0" w:line="240" w:lineRule="auto"/>
        <w:textAlignment w:val="baseline"/>
        <w:rPr>
          <w:rFonts w:ascii="Arial" w:eastAsia="Times New Roman" w:hAnsi="Arial" w:cs="Arial"/>
          <w:kern w:val="0"/>
          <w:sz w:val="24"/>
          <w:szCs w:val="24"/>
          <w:lang w:val="fr-FR" w:eastAsia="fr-CI"/>
          <w14:ligatures w14:val="none"/>
        </w:rPr>
      </w:pPr>
    </w:p>
    <w:p w14:paraId="036C4017" w14:textId="77777777" w:rsidR="000A6C14" w:rsidRPr="001725B6" w:rsidRDefault="000A6C14" w:rsidP="000A6C14">
      <w:pPr>
        <w:pStyle w:val="Heading1"/>
        <w:jc w:val="both"/>
        <w:rPr>
          <w:bCs/>
          <w:lang w:val="fr-FR"/>
        </w:rPr>
      </w:pPr>
      <w:bookmarkStart w:id="1" w:name="_Toc136029602"/>
      <w:r w:rsidRPr="001725B6">
        <w:rPr>
          <w:lang w:val="fr-FR"/>
        </w:rPr>
        <w:t xml:space="preserve">Section </w:t>
      </w:r>
      <w:proofErr w:type="gramStart"/>
      <w:r w:rsidRPr="001725B6">
        <w:rPr>
          <w:lang w:val="fr-FR"/>
        </w:rPr>
        <w:t>2:</w:t>
      </w:r>
      <w:proofErr w:type="gramEnd"/>
      <w:r w:rsidRPr="001725B6">
        <w:rPr>
          <w:lang w:val="fr-FR"/>
        </w:rPr>
        <w:t xml:space="preserve"> </w:t>
      </w:r>
      <w:bookmarkEnd w:id="1"/>
      <w:r w:rsidRPr="001725B6">
        <w:rPr>
          <w:lang w:val="fr-FR"/>
        </w:rPr>
        <w:t xml:space="preserve">Aperçu du Fonds de contrepartie compétitif </w:t>
      </w:r>
      <w:r>
        <w:rPr>
          <w:lang w:val="fr-FR"/>
        </w:rPr>
        <w:t>(MGF)</w:t>
      </w:r>
    </w:p>
    <w:p w14:paraId="6AE3557F" w14:textId="77777777" w:rsidR="000A6C14" w:rsidRPr="001725B6" w:rsidRDefault="000A6C14" w:rsidP="000A6C14">
      <w:pPr>
        <w:spacing w:after="0" w:line="240" w:lineRule="auto"/>
        <w:textAlignment w:val="baseline"/>
        <w:rPr>
          <w:rFonts w:ascii="Arial" w:eastAsia="Times New Roman" w:hAnsi="Arial" w:cs="Arial"/>
          <w:kern w:val="0"/>
          <w:sz w:val="24"/>
          <w:szCs w:val="24"/>
          <w:lang w:val="fr-FR" w:eastAsia="fr-CI"/>
          <w14:ligatures w14:val="none"/>
        </w:rPr>
      </w:pPr>
    </w:p>
    <w:p w14:paraId="2E53CA3F" w14:textId="77777777" w:rsidR="000A6C14" w:rsidRPr="001725B6" w:rsidRDefault="000A6C14" w:rsidP="000A6C14">
      <w:pPr>
        <w:spacing w:after="0" w:line="240" w:lineRule="auto"/>
        <w:ind w:firstLine="8415"/>
        <w:textAlignment w:val="baseline"/>
        <w:rPr>
          <w:rFonts w:ascii="Arial" w:eastAsia="Times New Roman" w:hAnsi="Arial" w:cs="Arial"/>
          <w:kern w:val="0"/>
          <w:sz w:val="28"/>
          <w:szCs w:val="28"/>
          <w:lang w:val="fr-FR" w:eastAsia="fr-CI"/>
          <w14:ligatures w14:val="none"/>
        </w:rPr>
      </w:pPr>
      <w:r w:rsidRPr="001725B6">
        <w:rPr>
          <w:rFonts w:ascii="Arial" w:eastAsia="Times New Roman" w:hAnsi="Arial" w:cs="Arial"/>
          <w:kern w:val="0"/>
          <w:sz w:val="28"/>
          <w:szCs w:val="28"/>
          <w:lang w:val="fr-FR" w:eastAsia="fr-CI"/>
          <w14:ligatures w14:val="none"/>
        </w:rPr>
        <w:lastRenderedPageBreak/>
        <w:t> </w:t>
      </w:r>
    </w:p>
    <w:p w14:paraId="5F8295F2" w14:textId="77777777" w:rsidR="000A6C14" w:rsidRPr="006838FF" w:rsidRDefault="000A6C14" w:rsidP="000A6C14">
      <w:pPr>
        <w:spacing w:after="0" w:line="240" w:lineRule="auto"/>
        <w:jc w:val="both"/>
        <w:textAlignment w:val="baseline"/>
        <w:rPr>
          <w:rFonts w:ascii="Arial" w:hAnsi="Arial" w:cs="Arial"/>
          <w:lang w:val="fr-FR"/>
        </w:rPr>
      </w:pPr>
      <w:r w:rsidRPr="006838FF">
        <w:rPr>
          <w:rFonts w:ascii="Arial" w:hAnsi="Arial" w:cs="Arial"/>
          <w:lang w:val="fr-FR"/>
        </w:rPr>
        <w:t xml:space="preserve">Cette section offre une vue d'ensemble du Fonds de contrepartie. Pour plus de détails sur chaque partie, veuillez continuer à lire le document. </w:t>
      </w:r>
    </w:p>
    <w:p w14:paraId="2FBF548F" w14:textId="77777777" w:rsidR="000A6C14" w:rsidRPr="006838FF" w:rsidRDefault="000A6C14" w:rsidP="000A6C14">
      <w:pPr>
        <w:spacing w:after="0" w:line="240" w:lineRule="auto"/>
        <w:jc w:val="both"/>
        <w:textAlignment w:val="baseline"/>
        <w:rPr>
          <w:rFonts w:ascii="Arial" w:eastAsia="Times New Roman" w:hAnsi="Arial" w:cs="Arial"/>
          <w:kern w:val="0"/>
          <w:sz w:val="28"/>
          <w:szCs w:val="28"/>
          <w:lang w:val="fr-FR" w:eastAsia="fr-CI"/>
          <w14:ligatures w14:val="none"/>
        </w:rPr>
      </w:pPr>
    </w:p>
    <w:tbl>
      <w:tblPr>
        <w:tblStyle w:val="TableGrid"/>
        <w:tblW w:w="0" w:type="auto"/>
        <w:tblLook w:val="04A0" w:firstRow="1" w:lastRow="0" w:firstColumn="1" w:lastColumn="0" w:noHBand="0" w:noVBand="1"/>
      </w:tblPr>
      <w:tblGrid>
        <w:gridCol w:w="1782"/>
        <w:gridCol w:w="7234"/>
      </w:tblGrid>
      <w:tr w:rsidR="000A6C14" w:rsidRPr="006D1923" w14:paraId="32C26860" w14:textId="77777777" w:rsidTr="00CF3208">
        <w:trPr>
          <w:trHeight w:val="300"/>
        </w:trPr>
        <w:tc>
          <w:tcPr>
            <w:tcW w:w="1705" w:type="dxa"/>
            <w:shd w:val="clear" w:color="auto" w:fill="A8D08D" w:themeFill="accent6" w:themeFillTint="99"/>
          </w:tcPr>
          <w:p w14:paraId="5A1BBE26" w14:textId="77777777" w:rsidR="000A6C14" w:rsidRPr="00125200" w:rsidRDefault="000A6C14" w:rsidP="00CF3208">
            <w:pPr>
              <w:spacing w:line="276" w:lineRule="auto"/>
              <w:rPr>
                <w:rFonts w:ascii="Arial" w:hAnsi="Arial" w:cs="Arial"/>
              </w:rPr>
            </w:pPr>
            <w:r w:rsidRPr="00125200">
              <w:rPr>
                <w:rFonts w:ascii="Arial" w:hAnsi="Arial" w:cs="Arial"/>
              </w:rPr>
              <w:t>Objecti</w:t>
            </w:r>
            <w:r>
              <w:rPr>
                <w:rFonts w:ascii="Arial" w:hAnsi="Arial" w:cs="Arial"/>
              </w:rPr>
              <w:t>f</w:t>
            </w:r>
            <w:r w:rsidRPr="00125200">
              <w:rPr>
                <w:rFonts w:ascii="Arial" w:hAnsi="Arial" w:cs="Arial"/>
              </w:rPr>
              <w:t xml:space="preserve"> </w:t>
            </w:r>
            <w:r>
              <w:rPr>
                <w:rFonts w:ascii="Arial" w:hAnsi="Arial" w:cs="Arial"/>
              </w:rPr>
              <w:t>du</w:t>
            </w:r>
            <w:r w:rsidRPr="00125200">
              <w:rPr>
                <w:rFonts w:ascii="Arial" w:hAnsi="Arial" w:cs="Arial"/>
              </w:rPr>
              <w:t xml:space="preserve"> MGF</w:t>
            </w:r>
          </w:p>
        </w:tc>
        <w:tc>
          <w:tcPr>
            <w:tcW w:w="7355" w:type="dxa"/>
          </w:tcPr>
          <w:p w14:paraId="755AAD97" w14:textId="77777777" w:rsidR="000A6C14" w:rsidRPr="006D1923" w:rsidRDefault="000A6C14" w:rsidP="00CF3208">
            <w:pPr>
              <w:spacing w:line="276" w:lineRule="auto"/>
              <w:rPr>
                <w:rFonts w:ascii="Arial" w:hAnsi="Arial" w:cs="Arial"/>
                <w:lang w:val="fr-FR"/>
              </w:rPr>
            </w:pPr>
            <w:r w:rsidRPr="006D1923">
              <w:rPr>
                <w:rFonts w:ascii="Arial" w:hAnsi="Arial" w:cs="Arial"/>
                <w:lang w:val="fr-FR"/>
              </w:rPr>
              <w:t xml:space="preserve">L'objectif global du Fonds de contrepartie </w:t>
            </w:r>
            <w:proofErr w:type="gramStart"/>
            <w:r w:rsidRPr="006D1923">
              <w:rPr>
                <w:rFonts w:ascii="Arial" w:hAnsi="Arial" w:cs="Arial"/>
                <w:lang w:val="fr-FR"/>
              </w:rPr>
              <w:t>compétitif  est</w:t>
            </w:r>
            <w:proofErr w:type="gramEnd"/>
            <w:r w:rsidRPr="006D1923">
              <w:rPr>
                <w:rFonts w:ascii="Arial" w:hAnsi="Arial" w:cs="Arial"/>
                <w:lang w:val="fr-FR"/>
              </w:rPr>
              <w:t xml:space="preserve"> de mobiliser les contributions des partenaires pour la mise en œuvre d'interventions spécifiques visant à stimuler la croissance durable, à renforcer le développement du secteur privé et à améliorer la productivité et la rentabilité des acteurs de la chaîne de valeur du cajou dans l'ensemble des 79 pays ACP.</w:t>
            </w:r>
          </w:p>
        </w:tc>
      </w:tr>
      <w:tr w:rsidR="000A6C14" w:rsidRPr="00E2731E" w14:paraId="759ECFEE" w14:textId="77777777" w:rsidTr="00CF3208">
        <w:trPr>
          <w:trHeight w:val="300"/>
        </w:trPr>
        <w:tc>
          <w:tcPr>
            <w:tcW w:w="1705" w:type="dxa"/>
            <w:shd w:val="clear" w:color="auto" w:fill="A8D08D" w:themeFill="accent6" w:themeFillTint="99"/>
          </w:tcPr>
          <w:p w14:paraId="672B01B7" w14:textId="77777777" w:rsidR="000A6C14" w:rsidRPr="00CD0A12" w:rsidRDefault="000A6C14" w:rsidP="00CF3208">
            <w:pPr>
              <w:spacing w:line="276" w:lineRule="auto"/>
              <w:rPr>
                <w:rFonts w:ascii="Arial" w:hAnsi="Arial" w:cs="Arial"/>
                <w:lang w:val="fr-FR"/>
              </w:rPr>
            </w:pPr>
            <w:r w:rsidRPr="00CD0A12">
              <w:rPr>
                <w:rFonts w:ascii="Arial" w:hAnsi="Arial" w:cs="Arial"/>
                <w:lang w:val="fr-FR"/>
              </w:rPr>
              <w:t>Qu'est-ce qu'une chaîne de valeur innovante et résiliente pour le cajou ?</w:t>
            </w:r>
          </w:p>
        </w:tc>
        <w:tc>
          <w:tcPr>
            <w:tcW w:w="7355" w:type="dxa"/>
          </w:tcPr>
          <w:p w14:paraId="77EDB752" w14:textId="77777777" w:rsidR="000A6C14" w:rsidRPr="00E2731E" w:rsidRDefault="000A6C14" w:rsidP="00CF3208">
            <w:pPr>
              <w:spacing w:line="276" w:lineRule="auto"/>
              <w:rPr>
                <w:rFonts w:ascii="Arial" w:hAnsi="Arial" w:cs="Arial"/>
                <w:lang w:val="fr-FR"/>
              </w:rPr>
            </w:pPr>
            <w:r w:rsidRPr="00E2731E">
              <w:rPr>
                <w:rFonts w:ascii="Arial" w:hAnsi="Arial" w:cs="Arial"/>
                <w:lang w:val="fr-FR"/>
              </w:rPr>
              <w:t>Approches ou modèles commerciaux détenus ou meilleures pratiques par le secteur privé qui soutiendront la durabilité de la chaîne de valeur du cajou et de ses segments. Les segments sont la production primaire, le commerce et la transformation.</w:t>
            </w:r>
          </w:p>
        </w:tc>
      </w:tr>
      <w:tr w:rsidR="000A6C14" w:rsidRPr="00B059AF" w14:paraId="756F0705" w14:textId="77777777" w:rsidTr="00CF3208">
        <w:trPr>
          <w:trHeight w:val="300"/>
        </w:trPr>
        <w:tc>
          <w:tcPr>
            <w:tcW w:w="1705" w:type="dxa"/>
            <w:shd w:val="clear" w:color="auto" w:fill="A8D08D" w:themeFill="accent6" w:themeFillTint="99"/>
          </w:tcPr>
          <w:p w14:paraId="689BC323" w14:textId="77777777" w:rsidR="000A6C14" w:rsidRPr="002C40AE" w:rsidRDefault="000A6C14" w:rsidP="00CF3208">
            <w:pPr>
              <w:spacing w:line="276" w:lineRule="auto"/>
              <w:rPr>
                <w:rFonts w:ascii="Arial" w:hAnsi="Arial" w:cs="Arial"/>
                <w:lang w:val="fr-FR"/>
              </w:rPr>
            </w:pPr>
            <w:r w:rsidRPr="002C40AE">
              <w:rPr>
                <w:rFonts w:ascii="Arial" w:hAnsi="Arial" w:cs="Arial"/>
                <w:lang w:val="fr-FR"/>
              </w:rPr>
              <w:t xml:space="preserve">Qui peut postuler au </w:t>
            </w:r>
            <w:r>
              <w:rPr>
                <w:rFonts w:ascii="Arial" w:hAnsi="Arial" w:cs="Arial"/>
                <w:lang w:val="fr-FR"/>
              </w:rPr>
              <w:t>MGF</w:t>
            </w:r>
          </w:p>
        </w:tc>
        <w:tc>
          <w:tcPr>
            <w:tcW w:w="7355" w:type="dxa"/>
          </w:tcPr>
          <w:p w14:paraId="3A9A0249" w14:textId="77777777" w:rsidR="000A6C14" w:rsidRPr="00F437FA" w:rsidRDefault="000A6C14" w:rsidP="00CF3208">
            <w:pPr>
              <w:spacing w:line="276" w:lineRule="auto"/>
              <w:rPr>
                <w:rFonts w:ascii="Arial" w:hAnsi="Arial" w:cs="Arial"/>
                <w:b/>
                <w:u w:val="single"/>
                <w:lang w:val="fr-FR"/>
              </w:rPr>
            </w:pPr>
            <w:r w:rsidRPr="00F437FA">
              <w:rPr>
                <w:rFonts w:ascii="Arial" w:hAnsi="Arial" w:cs="Arial"/>
                <w:b/>
                <w:u w:val="single"/>
                <w:lang w:val="fr-FR"/>
              </w:rPr>
              <w:t>Candidats principaux</w:t>
            </w:r>
          </w:p>
          <w:p w14:paraId="41568BED" w14:textId="77777777" w:rsidR="000A6C14" w:rsidRPr="00F437FA" w:rsidRDefault="000A6C14" w:rsidP="002503E7">
            <w:pPr>
              <w:pStyle w:val="ListParagraph"/>
              <w:widowControl w:val="0"/>
              <w:numPr>
                <w:ilvl w:val="0"/>
                <w:numId w:val="16"/>
              </w:numPr>
              <w:tabs>
                <w:tab w:val="left" w:pos="1111"/>
                <w:tab w:val="left" w:pos="1112"/>
              </w:tabs>
              <w:autoSpaceDE w:val="0"/>
              <w:autoSpaceDN w:val="0"/>
              <w:spacing w:before="121" w:line="276" w:lineRule="auto"/>
              <w:jc w:val="both"/>
              <w:rPr>
                <w:bCs/>
                <w:lang w:val="fr-FR"/>
              </w:rPr>
            </w:pPr>
            <w:r w:rsidRPr="00F437FA">
              <w:rPr>
                <w:bCs/>
                <w:lang w:val="fr-FR"/>
              </w:rPr>
              <w:t xml:space="preserve">Entreprises de transformation </w:t>
            </w:r>
          </w:p>
          <w:p w14:paraId="3042E208" w14:textId="77777777" w:rsidR="000A6C14" w:rsidRPr="00F1002E" w:rsidRDefault="000A6C14" w:rsidP="002503E7">
            <w:pPr>
              <w:pStyle w:val="ListParagraph"/>
              <w:widowControl w:val="0"/>
              <w:numPr>
                <w:ilvl w:val="0"/>
                <w:numId w:val="16"/>
              </w:numPr>
              <w:tabs>
                <w:tab w:val="left" w:pos="1111"/>
                <w:tab w:val="left" w:pos="1112"/>
              </w:tabs>
              <w:autoSpaceDE w:val="0"/>
              <w:autoSpaceDN w:val="0"/>
              <w:spacing w:before="121" w:line="276" w:lineRule="auto"/>
              <w:jc w:val="both"/>
              <w:rPr>
                <w:bCs/>
                <w:lang w:val="fr-FR"/>
              </w:rPr>
            </w:pPr>
            <w:r w:rsidRPr="00F1002E">
              <w:rPr>
                <w:bCs/>
                <w:lang w:val="fr-FR"/>
              </w:rPr>
              <w:t>Organisations de producteurs agricoles / structures/réseaux enregistrés ou pré-coopératifs (GIC et unions de GIC)</w:t>
            </w:r>
          </w:p>
          <w:p w14:paraId="10E62C12" w14:textId="77777777" w:rsidR="000A6C14" w:rsidRDefault="000A6C14" w:rsidP="002503E7">
            <w:pPr>
              <w:pStyle w:val="ListParagraph"/>
              <w:widowControl w:val="0"/>
              <w:numPr>
                <w:ilvl w:val="0"/>
                <w:numId w:val="16"/>
              </w:numPr>
              <w:tabs>
                <w:tab w:val="left" w:pos="1111"/>
                <w:tab w:val="left" w:pos="1112"/>
              </w:tabs>
              <w:autoSpaceDE w:val="0"/>
              <w:autoSpaceDN w:val="0"/>
              <w:spacing w:before="121" w:line="276" w:lineRule="auto"/>
              <w:jc w:val="both"/>
              <w:rPr>
                <w:bCs/>
                <w:lang w:val="fr-FR"/>
              </w:rPr>
            </w:pPr>
            <w:r>
              <w:rPr>
                <w:bCs/>
                <w:lang w:val="fr-FR"/>
              </w:rPr>
              <w:t>Acheteur/Acheteuse</w:t>
            </w:r>
            <w:r w:rsidRPr="00F1002E">
              <w:rPr>
                <w:bCs/>
                <w:lang w:val="fr-FR"/>
              </w:rPr>
              <w:t xml:space="preserve"> du produit principal de la chaîne de valeur et / ou de ses sous-produits</w:t>
            </w:r>
          </w:p>
          <w:p w14:paraId="693555E0" w14:textId="77777777" w:rsidR="000A6C14" w:rsidRPr="00922B64" w:rsidRDefault="000A6C14" w:rsidP="00CF3208">
            <w:pPr>
              <w:pStyle w:val="ListParagraph"/>
              <w:rPr>
                <w:b/>
                <w:lang w:val="fr-FR"/>
              </w:rPr>
            </w:pPr>
          </w:p>
          <w:p w14:paraId="3E2C5A14" w14:textId="77777777" w:rsidR="000A6C14" w:rsidRPr="00922B64" w:rsidRDefault="000A6C14" w:rsidP="00CF3208">
            <w:pPr>
              <w:rPr>
                <w:rFonts w:ascii="Arial" w:hAnsi="Arial" w:cs="Arial"/>
                <w:b/>
                <w:u w:val="single"/>
                <w:lang w:val="fr-FR"/>
              </w:rPr>
            </w:pPr>
            <w:r>
              <w:rPr>
                <w:b/>
                <w:lang w:val="fr-FR"/>
              </w:rPr>
              <w:t xml:space="preserve">  </w:t>
            </w:r>
            <w:r w:rsidRPr="00922B64">
              <w:rPr>
                <w:rFonts w:ascii="Arial" w:hAnsi="Arial" w:cs="Arial"/>
                <w:b/>
                <w:u w:val="single"/>
                <w:lang w:val="fr-FR"/>
              </w:rPr>
              <w:t>Partenaires du consortium</w:t>
            </w:r>
          </w:p>
          <w:p w14:paraId="468873BA" w14:textId="77777777" w:rsidR="000A6C14" w:rsidRDefault="000A6C14" w:rsidP="00CF3208">
            <w:pPr>
              <w:spacing w:after="160" w:line="259" w:lineRule="auto"/>
              <w:rPr>
                <w:rFonts w:ascii="Arial" w:hAnsi="Arial" w:cs="Arial"/>
              </w:rPr>
            </w:pPr>
          </w:p>
          <w:p w14:paraId="7BCC84D4" w14:textId="77777777" w:rsidR="000A6C14"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pPr>
            <w:r w:rsidRPr="00BD6662">
              <w:t xml:space="preserve">Agriculteurs </w:t>
            </w:r>
          </w:p>
          <w:p w14:paraId="7010A62F" w14:textId="77777777" w:rsidR="000A6C14"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BD6662">
              <w:rPr>
                <w:lang w:val="fr-FR"/>
              </w:rPr>
              <w:t xml:space="preserve">Entreprises de transformation Organismes de recherche privés ou publics/Universités </w:t>
            </w:r>
          </w:p>
          <w:p w14:paraId="49C44BF0" w14:textId="77777777" w:rsidR="000A6C14"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BD6662">
              <w:rPr>
                <w:lang w:val="fr-FR"/>
              </w:rPr>
              <w:t xml:space="preserve">Fondation du secteur privé </w:t>
            </w:r>
          </w:p>
          <w:p w14:paraId="0AA22190" w14:textId="77777777" w:rsidR="000A6C14"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BD6662">
              <w:rPr>
                <w:bCs/>
                <w:lang w:val="fr-FR"/>
              </w:rPr>
              <w:t xml:space="preserve">Acheteur/Acheteuse </w:t>
            </w:r>
            <w:r w:rsidRPr="00BD6662">
              <w:rPr>
                <w:lang w:val="fr-FR"/>
              </w:rPr>
              <w:t>du produit principal de la chaîne de valeur et/ou de ses sous-produits</w:t>
            </w:r>
          </w:p>
          <w:p w14:paraId="08EE4FF5" w14:textId="77777777" w:rsidR="000A6C14" w:rsidRPr="00BD6662"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BD6662">
              <w:t>Sociétés de négoce/d'achat</w:t>
            </w:r>
          </w:p>
          <w:p w14:paraId="397E17C9" w14:textId="77777777" w:rsidR="000A6C14" w:rsidRPr="00BD6662"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BD6662">
              <w:t>Institutions financières</w:t>
            </w:r>
          </w:p>
          <w:p w14:paraId="3563532F" w14:textId="77777777" w:rsidR="000A6C14" w:rsidRDefault="000A6C14" w:rsidP="00CF3208">
            <w:pPr>
              <w:spacing w:line="276" w:lineRule="auto"/>
              <w:rPr>
                <w:rFonts w:ascii="Arial" w:hAnsi="Arial" w:cs="Arial"/>
                <w:b/>
                <w:u w:val="single"/>
              </w:rPr>
            </w:pPr>
          </w:p>
          <w:p w14:paraId="3E7B11C2" w14:textId="77777777" w:rsidR="000A6C14" w:rsidRPr="00125200" w:rsidRDefault="000A6C14" w:rsidP="00CF3208">
            <w:pPr>
              <w:spacing w:line="276" w:lineRule="auto"/>
              <w:rPr>
                <w:b/>
                <w:u w:val="single"/>
              </w:rPr>
            </w:pPr>
            <w:r w:rsidRPr="009F76DC">
              <w:rPr>
                <w:rFonts w:ascii="Arial" w:hAnsi="Arial" w:cs="Arial"/>
                <w:b/>
                <w:u w:val="single"/>
              </w:rPr>
              <w:t>Prestataires de services</w:t>
            </w:r>
          </w:p>
          <w:p w14:paraId="12651798" w14:textId="77777777" w:rsidR="000A6C14" w:rsidRDefault="000A6C14" w:rsidP="002503E7">
            <w:pPr>
              <w:pStyle w:val="ListParagraph"/>
              <w:widowControl w:val="0"/>
              <w:numPr>
                <w:ilvl w:val="0"/>
                <w:numId w:val="17"/>
              </w:numPr>
              <w:tabs>
                <w:tab w:val="left" w:pos="1111"/>
                <w:tab w:val="left" w:pos="1112"/>
              </w:tabs>
              <w:autoSpaceDE w:val="0"/>
              <w:autoSpaceDN w:val="0"/>
              <w:spacing w:before="121"/>
              <w:jc w:val="both"/>
              <w:rPr>
                <w:lang w:val="fr-FR"/>
              </w:rPr>
            </w:pPr>
            <w:r w:rsidRPr="001F787C">
              <w:rPr>
                <w:lang w:val="fr-FR"/>
              </w:rPr>
              <w:t>Établissements d'enseignement et de formation techniques et professionnels agricoles (ATVET)</w:t>
            </w:r>
          </w:p>
          <w:p w14:paraId="4B46ED12" w14:textId="77777777" w:rsidR="000A6C14" w:rsidRDefault="000A6C14" w:rsidP="002503E7">
            <w:pPr>
              <w:pStyle w:val="ListParagraph"/>
              <w:widowControl w:val="0"/>
              <w:numPr>
                <w:ilvl w:val="0"/>
                <w:numId w:val="17"/>
              </w:numPr>
              <w:tabs>
                <w:tab w:val="left" w:pos="1111"/>
                <w:tab w:val="left" w:pos="1112"/>
              </w:tabs>
              <w:autoSpaceDE w:val="0"/>
              <w:autoSpaceDN w:val="0"/>
              <w:spacing w:before="121"/>
              <w:jc w:val="both"/>
              <w:rPr>
                <w:lang w:val="fr-FR"/>
              </w:rPr>
            </w:pPr>
            <w:r w:rsidRPr="001F787C">
              <w:rPr>
                <w:lang w:val="fr-FR"/>
              </w:rPr>
              <w:t>Organisations nationales de vulgarisation (publiques et privées)</w:t>
            </w:r>
          </w:p>
          <w:p w14:paraId="7B01B6FC" w14:textId="77777777" w:rsidR="000A6C14" w:rsidRDefault="000A6C14" w:rsidP="002503E7">
            <w:pPr>
              <w:pStyle w:val="ListParagraph"/>
              <w:widowControl w:val="0"/>
              <w:numPr>
                <w:ilvl w:val="0"/>
                <w:numId w:val="17"/>
              </w:numPr>
              <w:tabs>
                <w:tab w:val="left" w:pos="1111"/>
                <w:tab w:val="left" w:pos="1112"/>
              </w:tabs>
              <w:autoSpaceDE w:val="0"/>
              <w:autoSpaceDN w:val="0"/>
              <w:spacing w:before="121"/>
              <w:jc w:val="both"/>
              <w:rPr>
                <w:lang w:val="fr-FR"/>
              </w:rPr>
            </w:pPr>
            <w:r w:rsidRPr="00BD6662">
              <w:rPr>
                <w:lang w:val="fr-FR"/>
              </w:rPr>
              <w:t>Services de développement des entreprises</w:t>
            </w:r>
          </w:p>
          <w:p w14:paraId="0BD5CD86" w14:textId="77777777" w:rsidR="000A6C14" w:rsidRDefault="000A6C14" w:rsidP="002503E7">
            <w:pPr>
              <w:pStyle w:val="ListParagraph"/>
              <w:widowControl w:val="0"/>
              <w:numPr>
                <w:ilvl w:val="0"/>
                <w:numId w:val="17"/>
              </w:numPr>
              <w:tabs>
                <w:tab w:val="left" w:pos="1111"/>
                <w:tab w:val="left" w:pos="1112"/>
              </w:tabs>
              <w:autoSpaceDE w:val="0"/>
              <w:autoSpaceDN w:val="0"/>
              <w:spacing w:before="121"/>
              <w:jc w:val="both"/>
              <w:rPr>
                <w:lang w:val="fr-FR"/>
              </w:rPr>
            </w:pPr>
            <w:r w:rsidRPr="00BD6662">
              <w:rPr>
                <w:lang w:val="fr-FR"/>
              </w:rPr>
              <w:t>Fournisseurs de services pour, par exemple, les plateformes numériques</w:t>
            </w:r>
          </w:p>
          <w:p w14:paraId="243A376B" w14:textId="77777777" w:rsidR="000A6C14" w:rsidRDefault="000A6C14" w:rsidP="002503E7">
            <w:pPr>
              <w:pStyle w:val="ListParagraph"/>
              <w:widowControl w:val="0"/>
              <w:numPr>
                <w:ilvl w:val="0"/>
                <w:numId w:val="17"/>
              </w:numPr>
              <w:tabs>
                <w:tab w:val="left" w:pos="1111"/>
                <w:tab w:val="left" w:pos="1112"/>
              </w:tabs>
              <w:autoSpaceDE w:val="0"/>
              <w:autoSpaceDN w:val="0"/>
              <w:spacing w:before="121"/>
              <w:jc w:val="both"/>
              <w:rPr>
                <w:lang w:val="fr-FR"/>
              </w:rPr>
            </w:pPr>
            <w:r w:rsidRPr="00BD6662">
              <w:rPr>
                <w:lang w:val="fr-FR"/>
              </w:rPr>
              <w:t>Institutions financières</w:t>
            </w:r>
          </w:p>
          <w:p w14:paraId="686CBE03" w14:textId="77777777" w:rsidR="000A6C14" w:rsidRPr="00BD6662" w:rsidRDefault="000A6C14" w:rsidP="002503E7">
            <w:pPr>
              <w:pStyle w:val="ListParagraph"/>
              <w:widowControl w:val="0"/>
              <w:numPr>
                <w:ilvl w:val="0"/>
                <w:numId w:val="17"/>
              </w:numPr>
              <w:tabs>
                <w:tab w:val="left" w:pos="1111"/>
                <w:tab w:val="left" w:pos="1112"/>
              </w:tabs>
              <w:autoSpaceDE w:val="0"/>
              <w:autoSpaceDN w:val="0"/>
              <w:spacing w:before="121"/>
              <w:jc w:val="both"/>
              <w:rPr>
                <w:lang w:val="fr-FR"/>
              </w:rPr>
            </w:pPr>
            <w:r w:rsidRPr="00BD6662">
              <w:rPr>
                <w:lang w:val="fr-FR"/>
              </w:rPr>
              <w:t>Acteurs de la société civile</w:t>
            </w:r>
          </w:p>
          <w:p w14:paraId="2EC2777F" w14:textId="77777777" w:rsidR="000A6C14" w:rsidRPr="00B059AF" w:rsidRDefault="000A6C14" w:rsidP="00CF3208">
            <w:pPr>
              <w:rPr>
                <w:b/>
                <w:sz w:val="24"/>
                <w:szCs w:val="24"/>
                <w:lang w:val="fr-FR"/>
              </w:rPr>
            </w:pPr>
            <w:r w:rsidRPr="00B059AF">
              <w:rPr>
                <w:lang w:val="fr-FR"/>
              </w:rPr>
              <w:t xml:space="preserve"> </w:t>
            </w:r>
            <w:r w:rsidRPr="00B059AF">
              <w:rPr>
                <w:b/>
                <w:color w:val="2B579A"/>
                <w:sz w:val="24"/>
                <w:szCs w:val="24"/>
                <w:shd w:val="clear" w:color="auto" w:fill="E6E6E6"/>
                <w:lang w:val="fr-FR"/>
              </w:rPr>
              <w:t>Note : Les consortiums dirigés par des femmes et des jeunes sont encouragés à poser leur candidature.</w:t>
            </w:r>
          </w:p>
        </w:tc>
      </w:tr>
      <w:tr w:rsidR="000A6C14" w:rsidRPr="00481767" w14:paraId="58FAE6C6" w14:textId="77777777" w:rsidTr="00CF3208">
        <w:trPr>
          <w:trHeight w:val="300"/>
        </w:trPr>
        <w:tc>
          <w:tcPr>
            <w:tcW w:w="1705" w:type="dxa"/>
            <w:shd w:val="clear" w:color="auto" w:fill="A8D08D" w:themeFill="accent6" w:themeFillTint="99"/>
          </w:tcPr>
          <w:p w14:paraId="3F6D3A63" w14:textId="77777777" w:rsidR="000A6C14" w:rsidRPr="00125200" w:rsidRDefault="000A6C14" w:rsidP="00CF3208">
            <w:pPr>
              <w:spacing w:line="276" w:lineRule="auto"/>
              <w:rPr>
                <w:rFonts w:ascii="Arial" w:hAnsi="Arial" w:cs="Arial"/>
              </w:rPr>
            </w:pPr>
            <w:r w:rsidRPr="0063506C">
              <w:rPr>
                <w:rFonts w:ascii="Arial" w:hAnsi="Arial" w:cs="Arial"/>
              </w:rPr>
              <w:lastRenderedPageBreak/>
              <w:t>Critères d'éligibilité</w:t>
            </w:r>
          </w:p>
        </w:tc>
        <w:tc>
          <w:tcPr>
            <w:tcW w:w="7355" w:type="dxa"/>
          </w:tcPr>
          <w:p w14:paraId="5C65AD46" w14:textId="77777777" w:rsidR="000A6C14" w:rsidRPr="00481767"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lang w:val="fr-FR"/>
              </w:rPr>
            </w:pPr>
            <w:r w:rsidRPr="00481767">
              <w:rPr>
                <w:lang w:val="fr-FR"/>
              </w:rPr>
              <w:t xml:space="preserve">Entité légalement enregistrée ayant le mandat de conclure des accords commerciaux et de </w:t>
            </w:r>
            <w:proofErr w:type="gramStart"/>
            <w:r w:rsidRPr="00481767">
              <w:rPr>
                <w:lang w:val="fr-FR"/>
              </w:rPr>
              <w:t>coopération contraignants</w:t>
            </w:r>
            <w:proofErr w:type="gramEnd"/>
            <w:r w:rsidRPr="00481767">
              <w:rPr>
                <w:lang w:val="fr-FR"/>
              </w:rPr>
              <w:t>.</w:t>
            </w:r>
          </w:p>
          <w:p w14:paraId="43B530F1" w14:textId="77777777" w:rsidR="000A6C14" w:rsidRPr="00481767"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lang w:val="fr-FR"/>
              </w:rPr>
            </w:pPr>
            <w:r w:rsidRPr="00481767">
              <w:rPr>
                <w:lang w:val="fr-FR"/>
              </w:rPr>
              <w:t>Contribution au projet d'au moins 60 % (en espèces et/ou en nature)</w:t>
            </w:r>
          </w:p>
          <w:p w14:paraId="19237794" w14:textId="77777777" w:rsidR="000A6C14" w:rsidRPr="00481767"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lang w:val="fr-FR"/>
              </w:rPr>
            </w:pPr>
            <w:r w:rsidRPr="00481767">
              <w:rPr>
                <w:lang w:val="fr-FR"/>
              </w:rPr>
              <w:t>Chiffre d'affaires annuel au moins égal à deux fois le montant du contrat</w:t>
            </w:r>
          </w:p>
          <w:p w14:paraId="00AF1D12" w14:textId="77777777" w:rsidR="000A6C14" w:rsidRPr="00481767"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lang w:val="fr-FR"/>
              </w:rPr>
            </w:pPr>
            <w:r w:rsidRPr="00481767">
              <w:rPr>
                <w:lang w:val="fr-FR"/>
              </w:rPr>
              <w:t>Preuve du paiement des impôts au cours des deux dernières années pour le demandeur principal, le cas échéant.</w:t>
            </w:r>
          </w:p>
        </w:tc>
      </w:tr>
      <w:tr w:rsidR="000A6C14" w:rsidRPr="00C41820" w14:paraId="470E297A" w14:textId="77777777" w:rsidTr="00CF3208">
        <w:trPr>
          <w:trHeight w:val="300"/>
        </w:trPr>
        <w:tc>
          <w:tcPr>
            <w:tcW w:w="1705" w:type="dxa"/>
            <w:shd w:val="clear" w:color="auto" w:fill="A8D08D" w:themeFill="accent6" w:themeFillTint="99"/>
          </w:tcPr>
          <w:p w14:paraId="2C740C5A" w14:textId="77777777" w:rsidR="000A6C14" w:rsidRPr="00E321F2" w:rsidRDefault="000A6C14" w:rsidP="00CF3208">
            <w:pPr>
              <w:spacing w:line="276" w:lineRule="auto"/>
              <w:rPr>
                <w:rFonts w:ascii="Arial" w:hAnsi="Arial" w:cs="Arial"/>
                <w:lang w:val="fr-FR"/>
              </w:rPr>
            </w:pPr>
            <w:r w:rsidRPr="00E321F2">
              <w:rPr>
                <w:rFonts w:ascii="Arial" w:hAnsi="Arial" w:cs="Arial"/>
                <w:lang w:val="fr-FR"/>
              </w:rPr>
              <w:t>Indicateurs clés de performance (KPI)</w:t>
            </w:r>
          </w:p>
        </w:tc>
        <w:tc>
          <w:tcPr>
            <w:tcW w:w="7355" w:type="dxa"/>
          </w:tcPr>
          <w:p w14:paraId="7B0AB681" w14:textId="77777777" w:rsidR="000A6C14" w:rsidRPr="00C41820"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rFonts w:eastAsia="Times New Roman"/>
                <w:lang w:val="fr-FR"/>
              </w:rPr>
            </w:pPr>
            <w:r w:rsidRPr="00C41820">
              <w:rPr>
                <w:rFonts w:eastAsia="Times New Roman"/>
                <w:lang w:val="fr-FR"/>
              </w:rPr>
              <w:t xml:space="preserve"> Investissements des acteurs impliqués (partenaires des consortiums, MPME soutenues, institutions financières) dans la résilience des chaînes de valeur</w:t>
            </w:r>
          </w:p>
          <w:p w14:paraId="65085C96" w14:textId="77777777" w:rsidR="000A6C14" w:rsidRPr="00C41820"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rFonts w:eastAsia="Times New Roman"/>
                <w:lang w:val="fr-FR"/>
              </w:rPr>
            </w:pPr>
            <w:r w:rsidRPr="00C41820">
              <w:rPr>
                <w:rFonts w:eastAsia="Times New Roman"/>
                <w:lang w:val="fr-FR"/>
              </w:rPr>
              <w:t xml:space="preserve">75% des entités commerciales promues dans l'agriculture, la transformation ou la prestation de services, </w:t>
            </w:r>
          </w:p>
          <w:p w14:paraId="0CD4CBB9" w14:textId="77777777" w:rsidR="000A6C14" w:rsidRPr="00C41820"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rFonts w:eastAsia="Times New Roman"/>
                <w:lang w:val="fr-FR"/>
              </w:rPr>
            </w:pPr>
            <w:r w:rsidRPr="00C41820">
              <w:rPr>
                <w:rFonts w:eastAsia="Times New Roman"/>
                <w:lang w:val="fr-FR"/>
              </w:rPr>
              <w:t xml:space="preserve">50% des activités promues doivent être menées par des femmes, </w:t>
            </w:r>
          </w:p>
          <w:p w14:paraId="5A983AE4" w14:textId="77777777" w:rsidR="000A6C14" w:rsidRPr="00C41820"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rFonts w:eastAsia="Times New Roman"/>
                <w:lang w:val="fr-FR"/>
              </w:rPr>
            </w:pPr>
            <w:r w:rsidRPr="00C41820">
              <w:rPr>
                <w:rFonts w:eastAsia="Times New Roman"/>
                <w:lang w:val="fr-FR"/>
              </w:rPr>
              <w:t xml:space="preserve">50% des activités doivent être menées par des jeunes </w:t>
            </w:r>
          </w:p>
          <w:p w14:paraId="1D182FFF" w14:textId="77777777" w:rsidR="000A6C14" w:rsidRPr="00C41820"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rFonts w:eastAsia="Times New Roman"/>
                <w:lang w:val="fr-FR"/>
              </w:rPr>
            </w:pPr>
            <w:proofErr w:type="gramStart"/>
            <w:r w:rsidRPr="00C41820">
              <w:rPr>
                <w:rFonts w:eastAsia="Times New Roman"/>
                <w:lang w:val="fr-FR"/>
              </w:rPr>
              <w:t>les</w:t>
            </w:r>
            <w:proofErr w:type="gramEnd"/>
            <w:r w:rsidRPr="00C41820">
              <w:rPr>
                <w:rFonts w:eastAsia="Times New Roman"/>
                <w:lang w:val="fr-FR"/>
              </w:rPr>
              <w:t xml:space="preserve"> organisations professionnelles appliquent des pratiques résilientes</w:t>
            </w:r>
          </w:p>
          <w:p w14:paraId="43F60415" w14:textId="77777777" w:rsidR="000A6C14" w:rsidRPr="00C41820"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rFonts w:eastAsia="Times New Roman"/>
                <w:lang w:val="fr-FR"/>
              </w:rPr>
            </w:pPr>
            <w:r w:rsidRPr="00C41820">
              <w:rPr>
                <w:rFonts w:eastAsia="Times New Roman"/>
                <w:lang w:val="fr-FR"/>
              </w:rPr>
              <w:t xml:space="preserve">60 % des projets innovants soutenus réussissent à réduire le CO2 ou à stocker le CO2 sur le terrain conformément aux normes internationalement reconnues. </w:t>
            </w:r>
          </w:p>
          <w:p w14:paraId="5007672E" w14:textId="77777777" w:rsidR="000A6C14" w:rsidRPr="00C41820" w:rsidRDefault="000A6C14" w:rsidP="002503E7">
            <w:pPr>
              <w:pStyle w:val="ListParagraph"/>
              <w:widowControl w:val="0"/>
              <w:numPr>
                <w:ilvl w:val="0"/>
                <w:numId w:val="15"/>
              </w:numPr>
              <w:tabs>
                <w:tab w:val="left" w:pos="1111"/>
                <w:tab w:val="left" w:pos="1112"/>
              </w:tabs>
              <w:autoSpaceDE w:val="0"/>
              <w:autoSpaceDN w:val="0"/>
              <w:spacing w:before="121" w:line="276" w:lineRule="auto"/>
              <w:jc w:val="both"/>
              <w:rPr>
                <w:rFonts w:eastAsia="Times New Roman"/>
                <w:lang w:val="fr-FR"/>
              </w:rPr>
            </w:pPr>
            <w:r w:rsidRPr="00C41820">
              <w:rPr>
                <w:rFonts w:eastAsia="Times New Roman"/>
                <w:lang w:val="fr-FR"/>
              </w:rPr>
              <w:t>Des ressources supplémentaires sont mobilisées par les demandeurs de projets / consortiums.</w:t>
            </w:r>
          </w:p>
        </w:tc>
      </w:tr>
      <w:tr w:rsidR="000A6C14" w:rsidRPr="001B5698" w14:paraId="1D5F4BEC" w14:textId="77777777" w:rsidTr="00CF3208">
        <w:trPr>
          <w:trHeight w:val="300"/>
        </w:trPr>
        <w:tc>
          <w:tcPr>
            <w:tcW w:w="1705" w:type="dxa"/>
            <w:shd w:val="clear" w:color="auto" w:fill="A8D08D" w:themeFill="accent6" w:themeFillTint="99"/>
          </w:tcPr>
          <w:p w14:paraId="0559F807" w14:textId="77777777" w:rsidR="000A6C14" w:rsidRPr="005F59C4" w:rsidRDefault="000A6C14" w:rsidP="00CF3208">
            <w:pPr>
              <w:spacing w:line="276" w:lineRule="auto"/>
              <w:rPr>
                <w:rFonts w:ascii="Arial" w:hAnsi="Arial" w:cs="Arial"/>
                <w:lang w:val="fr-FR"/>
              </w:rPr>
            </w:pPr>
            <w:r w:rsidRPr="005F59C4">
              <w:rPr>
                <w:rFonts w:ascii="Arial" w:hAnsi="Arial" w:cs="Arial"/>
                <w:lang w:val="fr-FR"/>
              </w:rPr>
              <w:t xml:space="preserve">Activités d'intervention de soutien aux entreprises dans le cadre du Fonds de </w:t>
            </w:r>
            <w:r>
              <w:rPr>
                <w:rFonts w:ascii="Arial" w:hAnsi="Arial" w:cs="Arial"/>
                <w:lang w:val="fr-FR"/>
              </w:rPr>
              <w:t xml:space="preserve">contrepartie </w:t>
            </w:r>
            <w:r w:rsidRPr="005F59C4">
              <w:rPr>
                <w:rFonts w:ascii="Arial" w:hAnsi="Arial" w:cs="Arial"/>
                <w:lang w:val="fr-FR"/>
              </w:rPr>
              <w:t>complémentaire</w:t>
            </w:r>
          </w:p>
        </w:tc>
        <w:tc>
          <w:tcPr>
            <w:tcW w:w="7355" w:type="dxa"/>
          </w:tcPr>
          <w:p w14:paraId="678CDBB0" w14:textId="77777777" w:rsidR="000A6C14" w:rsidRPr="00A4211B" w:rsidRDefault="000A6C14" w:rsidP="00CF3208">
            <w:pPr>
              <w:spacing w:line="276" w:lineRule="auto"/>
              <w:rPr>
                <w:rFonts w:ascii="Arial" w:hAnsi="Arial" w:cs="Arial"/>
                <w:lang w:val="fr-FR"/>
              </w:rPr>
            </w:pPr>
            <w:r w:rsidRPr="00A4211B">
              <w:rPr>
                <w:rFonts w:ascii="Arial" w:hAnsi="Arial" w:cs="Arial"/>
                <w:b/>
                <w:lang w:val="fr-FR"/>
              </w:rPr>
              <w:t xml:space="preserve">Renforcement des capacités des producteurs </w:t>
            </w:r>
            <w:proofErr w:type="gramStart"/>
            <w:r w:rsidRPr="00A4211B">
              <w:rPr>
                <w:rFonts w:ascii="Arial" w:hAnsi="Arial" w:cs="Arial"/>
                <w:b/>
                <w:lang w:val="fr-FR"/>
              </w:rPr>
              <w:t xml:space="preserve">primaires </w:t>
            </w:r>
            <w:r w:rsidRPr="00A4211B">
              <w:rPr>
                <w:rFonts w:ascii="Arial" w:hAnsi="Arial" w:cs="Arial"/>
                <w:lang w:val="fr-FR"/>
              </w:rPr>
              <w:t xml:space="preserve"> </w:t>
            </w:r>
            <w:r w:rsidRPr="00F70463">
              <w:rPr>
                <w:rFonts w:ascii="Arial" w:hAnsi="Arial" w:cs="Arial"/>
                <w:lang w:val="fr-FR"/>
              </w:rPr>
              <w:t>par</w:t>
            </w:r>
            <w:proofErr w:type="gramEnd"/>
            <w:r w:rsidRPr="00F70463">
              <w:rPr>
                <w:rFonts w:ascii="Arial" w:hAnsi="Arial" w:cs="Arial"/>
                <w:lang w:val="fr-FR"/>
              </w:rPr>
              <w:t xml:space="preserve"> le biais de</w:t>
            </w:r>
            <w:r w:rsidRPr="00A4211B">
              <w:rPr>
                <w:rFonts w:ascii="Arial" w:hAnsi="Arial" w:cs="Arial"/>
                <w:lang w:val="fr-FR"/>
              </w:rPr>
              <w:t xml:space="preserve">: </w:t>
            </w:r>
          </w:p>
          <w:p w14:paraId="21D4E327" w14:textId="77777777" w:rsidR="000A6C14" w:rsidRPr="00F70463"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F70463">
              <w:rPr>
                <w:lang w:val="fr-FR"/>
              </w:rPr>
              <w:t>Formation technique pour les producteurs primaires : bonnes pratiques agricoles (BPA), adaptation au changement climatique (CC), agriculture conservatrice (AC), agroforesterie, développement de matériel de plantation amélioré, etc.</w:t>
            </w:r>
          </w:p>
          <w:p w14:paraId="7F1B1E70" w14:textId="77777777" w:rsidR="000A6C14" w:rsidRPr="00F70463"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F70463">
              <w:rPr>
                <w:rFonts w:eastAsia="Times New Roman"/>
                <w:lang w:val="fr-FR"/>
              </w:rPr>
              <w:t xml:space="preserve">Formation à l'entrepreneuriat pour les producteurs primaires : Les sujets peuvent inclure l'école </w:t>
            </w:r>
            <w:r>
              <w:rPr>
                <w:rFonts w:eastAsia="Times New Roman"/>
                <w:lang w:val="fr-FR"/>
              </w:rPr>
              <w:t>d’Entrepreneuriat</w:t>
            </w:r>
            <w:r w:rsidRPr="00F70463">
              <w:rPr>
                <w:rFonts w:eastAsia="Times New Roman"/>
                <w:lang w:val="fr-FR"/>
              </w:rPr>
              <w:t xml:space="preserve"> agricole (FBS), l'école d</w:t>
            </w:r>
            <w:r>
              <w:rPr>
                <w:rFonts w:eastAsia="Times New Roman"/>
                <w:lang w:val="fr-FR"/>
              </w:rPr>
              <w:t xml:space="preserve">’Entrepreneuriat </w:t>
            </w:r>
            <w:r w:rsidRPr="00F70463">
              <w:rPr>
                <w:rFonts w:eastAsia="Times New Roman"/>
                <w:lang w:val="fr-FR"/>
              </w:rPr>
              <w:t>coopérative (CBS), l'approche "</w:t>
            </w:r>
            <w:proofErr w:type="spellStart"/>
            <w:r w:rsidRPr="00F70463">
              <w:rPr>
                <w:rFonts w:eastAsia="Times New Roman"/>
                <w:lang w:val="fr-FR"/>
              </w:rPr>
              <w:t>Gender</w:t>
            </w:r>
            <w:proofErr w:type="spellEnd"/>
            <w:r w:rsidRPr="00F70463">
              <w:rPr>
                <w:rFonts w:eastAsia="Times New Roman"/>
                <w:lang w:val="fr-FR"/>
              </w:rPr>
              <w:t xml:space="preserve"> </w:t>
            </w:r>
            <w:proofErr w:type="spellStart"/>
            <w:r w:rsidRPr="00F70463">
              <w:rPr>
                <w:rFonts w:eastAsia="Times New Roman"/>
                <w:lang w:val="fr-FR"/>
              </w:rPr>
              <w:t>Make</w:t>
            </w:r>
            <w:proofErr w:type="spellEnd"/>
            <w:r w:rsidRPr="00F70463">
              <w:rPr>
                <w:rFonts w:eastAsia="Times New Roman"/>
                <w:lang w:val="fr-FR"/>
              </w:rPr>
              <w:t xml:space="preserve"> Business </w:t>
            </w:r>
            <w:proofErr w:type="spellStart"/>
            <w:r w:rsidRPr="00F70463">
              <w:rPr>
                <w:rFonts w:eastAsia="Times New Roman"/>
                <w:lang w:val="fr-FR"/>
              </w:rPr>
              <w:t>Sense</w:t>
            </w:r>
            <w:proofErr w:type="spellEnd"/>
            <w:r w:rsidRPr="00F70463">
              <w:rPr>
                <w:rFonts w:eastAsia="Times New Roman"/>
                <w:lang w:val="fr-FR"/>
              </w:rPr>
              <w:t>" (</w:t>
            </w:r>
            <w:proofErr w:type="spellStart"/>
            <w:r w:rsidRPr="00F70463">
              <w:rPr>
                <w:rFonts w:eastAsia="Times New Roman"/>
                <w:lang w:val="fr-FR"/>
              </w:rPr>
              <w:t>GmBS</w:t>
            </w:r>
            <w:proofErr w:type="spellEnd"/>
            <w:r w:rsidRPr="00F70463">
              <w:rPr>
                <w:rFonts w:eastAsia="Times New Roman"/>
                <w:lang w:val="fr-FR"/>
              </w:rPr>
              <w:t>), l'atténuation du changement climatique, l'autonomisation des femmes et des jeunes et d'autres sujets liés à l'esprit d'entreprise.</w:t>
            </w:r>
          </w:p>
          <w:p w14:paraId="4E6BB5A2" w14:textId="77777777" w:rsidR="000A6C14" w:rsidRPr="009D2ACF" w:rsidRDefault="000A6C14" w:rsidP="00CF3208">
            <w:pPr>
              <w:rPr>
                <w:rFonts w:eastAsia="Times New Roman"/>
                <w:b/>
                <w:sz w:val="24"/>
                <w:szCs w:val="24"/>
                <w:lang w:val="fr-FR"/>
              </w:rPr>
            </w:pPr>
            <w:r w:rsidRPr="009D2ACF">
              <w:rPr>
                <w:rFonts w:eastAsia="Times New Roman"/>
                <w:b/>
                <w:color w:val="2B579A"/>
                <w:sz w:val="24"/>
                <w:szCs w:val="24"/>
                <w:shd w:val="clear" w:color="auto" w:fill="E6E6E6"/>
                <w:lang w:val="fr-FR"/>
              </w:rPr>
              <w:t xml:space="preserve">Autres interventions et approches de promotion de la chaîne de valeur </w:t>
            </w:r>
          </w:p>
          <w:p w14:paraId="1523E6F0" w14:textId="77777777" w:rsidR="000A6C14" w:rsidRPr="001B5698" w:rsidRDefault="000A6C14" w:rsidP="00CF3208">
            <w:pPr>
              <w:spacing w:after="160" w:line="259" w:lineRule="auto"/>
              <w:ind w:left="360"/>
              <w:rPr>
                <w:rFonts w:ascii="Arial" w:eastAsia="Times New Roman" w:hAnsi="Arial" w:cs="Arial"/>
                <w:lang w:val="fr-FR"/>
              </w:rPr>
            </w:pPr>
            <w:r w:rsidRPr="001B5698">
              <w:rPr>
                <w:rFonts w:ascii="Arial" w:eastAsia="Times New Roman" w:hAnsi="Arial" w:cs="Arial"/>
                <w:lang w:val="fr-FR"/>
              </w:rPr>
              <w:t xml:space="preserve">Outre les deux premiers domaines thématiques, les candidatures pourraient également porter sur les sujets/approches suivants : Agriculture contractuelle/liens avec la chaîne d'approvisionnement, diversification (par exemple, cultures intercalaires, apiculture, agroforesterie, etc.), production et/ou utilisation d'énergies renouvelables, gestion optimisée de l'approvisionnement et gestion logistique (transport), y compris communication, traçabilité, solutions numériques, innovations dans le développement de nouveaux produits, recyclage des déchets / </w:t>
            </w:r>
            <w:proofErr w:type="spellStart"/>
            <w:r w:rsidRPr="001B5698">
              <w:rPr>
                <w:rFonts w:ascii="Arial" w:eastAsia="Times New Roman" w:hAnsi="Arial" w:cs="Arial"/>
                <w:lang w:val="fr-FR"/>
              </w:rPr>
              <w:t>upcycling</w:t>
            </w:r>
            <w:proofErr w:type="spellEnd"/>
            <w:r w:rsidRPr="001B5698">
              <w:rPr>
                <w:rFonts w:ascii="Arial" w:eastAsia="Times New Roman" w:hAnsi="Arial" w:cs="Arial"/>
                <w:lang w:val="fr-FR"/>
              </w:rPr>
              <w:t xml:space="preserve"> dans les produits commerciaux, utilisation des sous-produits du cajou, transformation du cajou, écotourisme / agrotourisme, certification (biologique, commerce équitable, etc.), services numériques </w:t>
            </w:r>
            <w:r w:rsidRPr="001B5698">
              <w:rPr>
                <w:rFonts w:ascii="Arial" w:eastAsia="Times New Roman" w:hAnsi="Arial" w:cs="Arial"/>
                <w:lang w:val="fr-FR"/>
              </w:rPr>
              <w:lastRenderedPageBreak/>
              <w:t xml:space="preserve">(prévisions météorologiques, traçabilité), gestion intégrée des parasites, gestion de la fertilité des sols, gestion post-récolte, crédit carbone, etc. ), services numériques (prévisions météorologiques, traçabilité), lutte intégrée contre les ravageurs, gestion de la fertilité des sols, gestion post-récolte, crédit carbone, mécanisation, accès au financement, aspects sociaux, etc. </w:t>
            </w:r>
            <w:r w:rsidRPr="00A23FA1">
              <w:rPr>
                <w:rFonts w:ascii="Arial" w:eastAsia="Times New Roman" w:hAnsi="Arial" w:cs="Arial"/>
                <w:lang w:val="fr-FR"/>
              </w:rPr>
              <w:t>la durabilité (comme la sensibilisation au travail des enfants, au travail forcé, etc.)</w:t>
            </w:r>
          </w:p>
        </w:tc>
      </w:tr>
      <w:tr w:rsidR="000A6C14" w:rsidRPr="000E79C4" w14:paraId="4908AB2E" w14:textId="77777777" w:rsidTr="00CF3208">
        <w:trPr>
          <w:trHeight w:val="300"/>
        </w:trPr>
        <w:tc>
          <w:tcPr>
            <w:tcW w:w="1705" w:type="dxa"/>
            <w:shd w:val="clear" w:color="auto" w:fill="A8D08D" w:themeFill="accent6" w:themeFillTint="99"/>
          </w:tcPr>
          <w:p w14:paraId="6BF06231" w14:textId="77777777" w:rsidR="000A6C14" w:rsidRPr="00CB2A49" w:rsidRDefault="000A6C14" w:rsidP="00CF3208">
            <w:pPr>
              <w:spacing w:line="276" w:lineRule="auto"/>
              <w:rPr>
                <w:rFonts w:ascii="Arial" w:hAnsi="Arial" w:cs="Arial"/>
                <w:lang w:val="fr-FR"/>
              </w:rPr>
            </w:pPr>
            <w:r w:rsidRPr="00CB2A49">
              <w:rPr>
                <w:rFonts w:ascii="Arial" w:hAnsi="Arial" w:cs="Arial"/>
                <w:lang w:val="fr-FR"/>
              </w:rPr>
              <w:lastRenderedPageBreak/>
              <w:t>Durée et taille du projet</w:t>
            </w:r>
          </w:p>
        </w:tc>
        <w:tc>
          <w:tcPr>
            <w:tcW w:w="7355" w:type="dxa"/>
          </w:tcPr>
          <w:p w14:paraId="7FF3DA3F" w14:textId="77777777" w:rsidR="000A6C14" w:rsidRPr="000E79C4" w:rsidRDefault="000A6C14" w:rsidP="00CF3208">
            <w:pPr>
              <w:spacing w:line="276" w:lineRule="auto"/>
              <w:rPr>
                <w:rFonts w:ascii="Arial" w:hAnsi="Arial" w:cs="Arial"/>
                <w:lang w:val="fr-FR"/>
              </w:rPr>
            </w:pPr>
            <w:r w:rsidRPr="000E79C4">
              <w:rPr>
                <w:rFonts w:ascii="Arial" w:hAnsi="Arial" w:cs="Arial"/>
                <w:lang w:val="fr-FR"/>
              </w:rPr>
              <w:t>Délai maximum de 24 mois après la signature du contrat et montant GIZ de 125 000 € maximum pour les projets avec des bénéficiaires dans un seul pays, et jusqu'à 500 000 € pour les alliances stratégiques (lorsque les bénéficiaires se trouvent dans plusieurs pays ou que plusieurs consortiums présentent une demande conjointe).</w:t>
            </w:r>
          </w:p>
        </w:tc>
      </w:tr>
      <w:tr w:rsidR="000A6C14" w:rsidRPr="00125200" w14:paraId="0E4F7700" w14:textId="77777777" w:rsidTr="00CF3208">
        <w:trPr>
          <w:trHeight w:val="300"/>
        </w:trPr>
        <w:tc>
          <w:tcPr>
            <w:tcW w:w="1705" w:type="dxa"/>
            <w:shd w:val="clear" w:color="auto" w:fill="A8D08D" w:themeFill="accent6" w:themeFillTint="99"/>
          </w:tcPr>
          <w:p w14:paraId="6C9BED22" w14:textId="77777777" w:rsidR="000A6C14" w:rsidRPr="00125200" w:rsidRDefault="000A6C14" w:rsidP="00CF3208">
            <w:pPr>
              <w:spacing w:line="276" w:lineRule="auto"/>
              <w:rPr>
                <w:rFonts w:ascii="Arial" w:hAnsi="Arial" w:cs="Arial"/>
              </w:rPr>
            </w:pPr>
            <w:r w:rsidRPr="00125200">
              <w:rPr>
                <w:rFonts w:ascii="Arial" w:hAnsi="Arial" w:cs="Arial"/>
              </w:rPr>
              <w:t xml:space="preserve">MGF </w:t>
            </w:r>
            <w:r w:rsidRPr="00CA4DD0">
              <w:rPr>
                <w:rFonts w:ascii="Arial" w:hAnsi="Arial" w:cs="Arial"/>
              </w:rPr>
              <w:t>étapes du processus</w:t>
            </w:r>
          </w:p>
        </w:tc>
        <w:tc>
          <w:tcPr>
            <w:tcW w:w="7355" w:type="dxa"/>
          </w:tcPr>
          <w:p w14:paraId="34E520FF" w14:textId="77777777" w:rsidR="000A6C14" w:rsidRDefault="000A6C14" w:rsidP="002503E7">
            <w:pPr>
              <w:pStyle w:val="ListParagraph"/>
              <w:widowControl w:val="0"/>
              <w:numPr>
                <w:ilvl w:val="0"/>
                <w:numId w:val="18"/>
              </w:numPr>
              <w:tabs>
                <w:tab w:val="left" w:pos="1111"/>
                <w:tab w:val="left" w:pos="1112"/>
              </w:tabs>
              <w:autoSpaceDE w:val="0"/>
              <w:autoSpaceDN w:val="0"/>
              <w:spacing w:before="121" w:line="276" w:lineRule="auto"/>
              <w:jc w:val="both"/>
              <w:rPr>
                <w:lang w:val="fr-FR"/>
              </w:rPr>
            </w:pPr>
            <w:r w:rsidRPr="00E21D82">
              <w:rPr>
                <w:lang w:val="fr-FR"/>
              </w:rPr>
              <w:t>Programme de préparation (soutien en ligne/hors ligne aux candidats potentiels afin qu'ils comprennent mieux l'ensemble du processus du MGF et qu'ils introduisent leur demande).</w:t>
            </w:r>
          </w:p>
          <w:p w14:paraId="552FA2FD" w14:textId="77777777" w:rsidR="000A6C14" w:rsidRDefault="000A6C14" w:rsidP="002503E7">
            <w:pPr>
              <w:pStyle w:val="ListParagraph"/>
              <w:widowControl w:val="0"/>
              <w:numPr>
                <w:ilvl w:val="0"/>
                <w:numId w:val="18"/>
              </w:numPr>
              <w:tabs>
                <w:tab w:val="left" w:pos="1111"/>
                <w:tab w:val="left" w:pos="1112"/>
              </w:tabs>
              <w:autoSpaceDE w:val="0"/>
              <w:autoSpaceDN w:val="0"/>
              <w:spacing w:before="121" w:line="276" w:lineRule="auto"/>
              <w:jc w:val="both"/>
              <w:rPr>
                <w:lang w:val="fr-FR"/>
              </w:rPr>
            </w:pPr>
            <w:r w:rsidRPr="00E21D82">
              <w:rPr>
                <w:lang w:val="fr-FR"/>
              </w:rPr>
              <w:t>Appel à notes conceptuelles (brève description des intentions du projet à l'aide du modèle fourni)</w:t>
            </w:r>
          </w:p>
          <w:p w14:paraId="1F8CA146" w14:textId="77777777" w:rsidR="000A6C14" w:rsidRDefault="000A6C14" w:rsidP="002503E7">
            <w:pPr>
              <w:pStyle w:val="ListParagraph"/>
              <w:widowControl w:val="0"/>
              <w:numPr>
                <w:ilvl w:val="0"/>
                <w:numId w:val="18"/>
              </w:numPr>
              <w:tabs>
                <w:tab w:val="left" w:pos="1111"/>
                <w:tab w:val="left" w:pos="1112"/>
              </w:tabs>
              <w:autoSpaceDE w:val="0"/>
              <w:autoSpaceDN w:val="0"/>
              <w:spacing w:before="121" w:line="276" w:lineRule="auto"/>
              <w:jc w:val="both"/>
              <w:rPr>
                <w:lang w:val="fr-FR"/>
              </w:rPr>
            </w:pPr>
            <w:r w:rsidRPr="00C91075">
              <w:rPr>
                <w:lang w:val="fr-FR"/>
              </w:rPr>
              <w:t>Évaluation des notes conceptuelles par un comité d'experts interinstitutionnel</w:t>
            </w:r>
          </w:p>
          <w:p w14:paraId="7113BA57" w14:textId="77777777" w:rsidR="000A6C14" w:rsidRDefault="000A6C14" w:rsidP="002503E7">
            <w:pPr>
              <w:pStyle w:val="ListParagraph"/>
              <w:widowControl w:val="0"/>
              <w:numPr>
                <w:ilvl w:val="0"/>
                <w:numId w:val="18"/>
              </w:numPr>
              <w:tabs>
                <w:tab w:val="left" w:pos="1111"/>
                <w:tab w:val="left" w:pos="1112"/>
              </w:tabs>
              <w:autoSpaceDE w:val="0"/>
              <w:autoSpaceDN w:val="0"/>
              <w:spacing w:before="121" w:line="276" w:lineRule="auto"/>
              <w:jc w:val="both"/>
              <w:rPr>
                <w:lang w:val="fr-FR"/>
              </w:rPr>
            </w:pPr>
            <w:r w:rsidRPr="00C91075">
              <w:rPr>
                <w:lang w:val="fr-FR"/>
              </w:rPr>
              <w:t>Soutien à l'élaboration d'une proposition complète</w:t>
            </w:r>
          </w:p>
          <w:p w14:paraId="1CE0997D" w14:textId="77777777" w:rsidR="000A6C14" w:rsidRDefault="000A6C14" w:rsidP="002503E7">
            <w:pPr>
              <w:pStyle w:val="ListParagraph"/>
              <w:widowControl w:val="0"/>
              <w:numPr>
                <w:ilvl w:val="0"/>
                <w:numId w:val="18"/>
              </w:numPr>
              <w:tabs>
                <w:tab w:val="left" w:pos="1111"/>
                <w:tab w:val="left" w:pos="1112"/>
              </w:tabs>
              <w:autoSpaceDE w:val="0"/>
              <w:autoSpaceDN w:val="0"/>
              <w:spacing w:before="121" w:line="276" w:lineRule="auto"/>
              <w:jc w:val="both"/>
              <w:rPr>
                <w:lang w:val="fr-FR"/>
              </w:rPr>
            </w:pPr>
            <w:r w:rsidRPr="00C91075">
              <w:rPr>
                <w:lang w:val="fr-FR"/>
              </w:rPr>
              <w:t xml:space="preserve">Évaluation et décision de financement du projet </w:t>
            </w:r>
            <w:r>
              <w:rPr>
                <w:lang w:val="fr-FR"/>
              </w:rPr>
              <w:t xml:space="preserve">complet </w:t>
            </w:r>
          </w:p>
          <w:p w14:paraId="6F6D09E1" w14:textId="77777777" w:rsidR="000A6C14" w:rsidRDefault="000A6C14" w:rsidP="002503E7">
            <w:pPr>
              <w:pStyle w:val="ListParagraph"/>
              <w:widowControl w:val="0"/>
              <w:numPr>
                <w:ilvl w:val="0"/>
                <w:numId w:val="18"/>
              </w:numPr>
              <w:tabs>
                <w:tab w:val="left" w:pos="1111"/>
                <w:tab w:val="left" w:pos="1112"/>
              </w:tabs>
              <w:autoSpaceDE w:val="0"/>
              <w:autoSpaceDN w:val="0"/>
              <w:spacing w:before="121" w:line="276" w:lineRule="auto"/>
              <w:jc w:val="both"/>
              <w:rPr>
                <w:lang w:val="fr-FR"/>
              </w:rPr>
            </w:pPr>
            <w:r w:rsidRPr="00C91075">
              <w:rPr>
                <w:lang w:val="fr-FR"/>
              </w:rPr>
              <w:t xml:space="preserve">Passation de contrats </w:t>
            </w:r>
          </w:p>
          <w:p w14:paraId="4520E2CA" w14:textId="77777777" w:rsidR="000A6C14" w:rsidRDefault="000A6C14" w:rsidP="002503E7">
            <w:pPr>
              <w:pStyle w:val="ListParagraph"/>
              <w:widowControl w:val="0"/>
              <w:numPr>
                <w:ilvl w:val="0"/>
                <w:numId w:val="18"/>
              </w:numPr>
              <w:tabs>
                <w:tab w:val="left" w:pos="1111"/>
                <w:tab w:val="left" w:pos="1112"/>
              </w:tabs>
              <w:autoSpaceDE w:val="0"/>
              <w:autoSpaceDN w:val="0"/>
              <w:spacing w:before="121" w:line="276" w:lineRule="auto"/>
              <w:jc w:val="both"/>
              <w:rPr>
                <w:lang w:val="fr-FR"/>
              </w:rPr>
            </w:pPr>
            <w:r w:rsidRPr="00D2690D">
              <w:rPr>
                <w:lang w:val="fr-FR"/>
              </w:rPr>
              <w:t>Mise en œuvre du projet, y compris le cycle de suivi et d'évaluation et l'établissement de rapports</w:t>
            </w:r>
          </w:p>
          <w:p w14:paraId="19A94883" w14:textId="77777777" w:rsidR="000A6C14" w:rsidRPr="00D2690D" w:rsidRDefault="000A6C14" w:rsidP="002503E7">
            <w:pPr>
              <w:pStyle w:val="ListParagraph"/>
              <w:widowControl w:val="0"/>
              <w:numPr>
                <w:ilvl w:val="0"/>
                <w:numId w:val="18"/>
              </w:numPr>
              <w:tabs>
                <w:tab w:val="left" w:pos="1111"/>
                <w:tab w:val="left" w:pos="1112"/>
              </w:tabs>
              <w:autoSpaceDE w:val="0"/>
              <w:autoSpaceDN w:val="0"/>
              <w:spacing w:before="121" w:line="276" w:lineRule="auto"/>
              <w:jc w:val="both"/>
              <w:rPr>
                <w:lang w:val="fr-FR"/>
              </w:rPr>
            </w:pPr>
            <w:r w:rsidRPr="00D2690D">
              <w:t>Audit et clôture</w:t>
            </w:r>
          </w:p>
        </w:tc>
      </w:tr>
    </w:tbl>
    <w:p w14:paraId="1994F153" w14:textId="77777777" w:rsidR="000A6C14" w:rsidRDefault="000A6C14" w:rsidP="000A6C14">
      <w:pPr>
        <w:spacing w:after="0" w:line="240" w:lineRule="auto"/>
        <w:jc w:val="both"/>
        <w:textAlignment w:val="baseline"/>
        <w:rPr>
          <w:rFonts w:ascii="Arial" w:eastAsia="Times New Roman" w:hAnsi="Arial" w:cs="Arial"/>
          <w:kern w:val="0"/>
          <w:sz w:val="28"/>
          <w:szCs w:val="28"/>
          <w:lang w:eastAsia="fr-CI"/>
          <w14:ligatures w14:val="none"/>
        </w:rPr>
      </w:pPr>
    </w:p>
    <w:p w14:paraId="01FACB15" w14:textId="77777777" w:rsidR="000A6C14" w:rsidRDefault="000A6C14" w:rsidP="000A6C14">
      <w:pPr>
        <w:spacing w:after="0" w:line="240" w:lineRule="auto"/>
        <w:jc w:val="both"/>
        <w:textAlignment w:val="baseline"/>
        <w:rPr>
          <w:rFonts w:ascii="Arial" w:eastAsia="Times New Roman" w:hAnsi="Arial" w:cs="Arial"/>
          <w:kern w:val="0"/>
          <w:sz w:val="28"/>
          <w:szCs w:val="28"/>
          <w:lang w:eastAsia="fr-CI"/>
          <w14:ligatures w14:val="none"/>
        </w:rPr>
      </w:pPr>
    </w:p>
    <w:p w14:paraId="0D4D9483" w14:textId="77777777" w:rsidR="000A6C14" w:rsidRDefault="000A6C14" w:rsidP="000A6C14">
      <w:pPr>
        <w:spacing w:after="0" w:line="240" w:lineRule="auto"/>
        <w:jc w:val="both"/>
        <w:textAlignment w:val="baseline"/>
        <w:rPr>
          <w:rFonts w:ascii="Arial" w:eastAsia="Times New Roman" w:hAnsi="Arial" w:cs="Arial"/>
          <w:kern w:val="0"/>
          <w:sz w:val="28"/>
          <w:szCs w:val="28"/>
          <w:lang w:eastAsia="fr-CI"/>
          <w14:ligatures w14:val="none"/>
        </w:rPr>
      </w:pPr>
    </w:p>
    <w:p w14:paraId="74471BB0" w14:textId="77777777" w:rsidR="000A6C14" w:rsidRDefault="000A6C14" w:rsidP="000A6C14">
      <w:pPr>
        <w:spacing w:after="0" w:line="240" w:lineRule="auto"/>
        <w:jc w:val="both"/>
        <w:textAlignment w:val="baseline"/>
        <w:rPr>
          <w:rFonts w:ascii="Arial" w:eastAsia="Times New Roman" w:hAnsi="Arial" w:cs="Arial"/>
          <w:kern w:val="0"/>
          <w:sz w:val="28"/>
          <w:szCs w:val="28"/>
          <w:lang w:eastAsia="fr-CI"/>
          <w14:ligatures w14:val="none"/>
        </w:rPr>
      </w:pPr>
    </w:p>
    <w:p w14:paraId="66FE2550" w14:textId="77777777" w:rsidR="000A6C14" w:rsidRDefault="000A6C14" w:rsidP="000A6C14">
      <w:pPr>
        <w:spacing w:after="0" w:line="240" w:lineRule="auto"/>
        <w:jc w:val="both"/>
        <w:textAlignment w:val="baseline"/>
        <w:rPr>
          <w:rFonts w:ascii="Arial" w:hAnsi="Arial" w:cs="Arial"/>
          <w:b/>
          <w:bCs/>
          <w:color w:val="808080"/>
          <w:kern w:val="0"/>
          <w:sz w:val="28"/>
          <w:szCs w:val="28"/>
          <w:lang w:val="fr" w:eastAsia="fr-CI"/>
          <w14:ligatures w14:val="none"/>
        </w:rPr>
      </w:pPr>
      <w:r w:rsidRPr="00F56462">
        <w:rPr>
          <w:rFonts w:ascii="Arial" w:hAnsi="Arial" w:cs="Arial"/>
          <w:b/>
          <w:bCs/>
          <w:color w:val="808080"/>
          <w:kern w:val="0"/>
          <w:sz w:val="28"/>
          <w:szCs w:val="28"/>
          <w:lang w:val="fr" w:eastAsia="fr-CI"/>
          <w14:ligatures w14:val="none"/>
        </w:rPr>
        <w:t>Section 3 : Contexte</w:t>
      </w:r>
    </w:p>
    <w:p w14:paraId="3EEA5ED4" w14:textId="77777777" w:rsidR="000A6C14" w:rsidRDefault="000A6C14" w:rsidP="000A6C14">
      <w:pPr>
        <w:spacing w:after="0" w:line="240" w:lineRule="auto"/>
        <w:textAlignment w:val="baseline"/>
        <w:rPr>
          <w:rFonts w:ascii="Arial" w:hAnsi="Arial" w:cs="Arial"/>
          <w:b/>
          <w:bCs/>
          <w:color w:val="2F5496"/>
          <w:kern w:val="0"/>
          <w:sz w:val="24"/>
          <w:szCs w:val="24"/>
          <w:lang w:val="fr" w:eastAsia="fr-CI"/>
          <w14:ligatures w14:val="none"/>
        </w:rPr>
      </w:pPr>
      <w:r w:rsidRPr="009163C4">
        <w:rPr>
          <w:rFonts w:ascii="Arial" w:hAnsi="Arial" w:cs="Arial"/>
          <w:b/>
          <w:bCs/>
          <w:color w:val="2F5496"/>
          <w:kern w:val="0"/>
          <w:sz w:val="24"/>
          <w:szCs w:val="24"/>
          <w:lang w:val="fr" w:eastAsia="fr-CI"/>
          <w14:ligatures w14:val="none"/>
        </w:rPr>
        <w:t>Projet de Facilité d’Appui aux Entreprises pour des Chaînes de Valeur Agricoles Résilientes</w:t>
      </w:r>
    </w:p>
    <w:p w14:paraId="4044D304" w14:textId="77777777" w:rsidR="000A6C14" w:rsidRPr="00EB0D41" w:rsidRDefault="000A6C14" w:rsidP="000A6C14">
      <w:pPr>
        <w:spacing w:after="0" w:line="240" w:lineRule="auto"/>
        <w:ind w:right="60"/>
        <w:jc w:val="both"/>
        <w:textAlignment w:val="baseline"/>
        <w:rPr>
          <w:rFonts w:ascii="Arial" w:eastAsia="Times New Roman" w:hAnsi="Arial" w:cs="Arial"/>
          <w:kern w:val="0"/>
          <w:lang w:eastAsia="fr-CI"/>
          <w14:ligatures w14:val="none"/>
        </w:rPr>
      </w:pPr>
      <w:r w:rsidRPr="009163C4">
        <w:rPr>
          <w:rFonts w:ascii="Arial" w:hAnsi="Arial" w:cs="Arial"/>
          <w:kern w:val="0"/>
          <w:sz w:val="24"/>
          <w:szCs w:val="24"/>
          <w:lang w:val="fr" w:eastAsia="fr-CI"/>
          <w14:ligatures w14:val="none"/>
        </w:rPr>
        <w:t>L’action commune proposée « </w:t>
      </w:r>
      <w:r w:rsidRPr="009163C4">
        <w:rPr>
          <w:rFonts w:ascii="Arial" w:hAnsi="Arial" w:cs="Arial"/>
          <w:b/>
          <w:bCs/>
          <w:kern w:val="0"/>
          <w:sz w:val="24"/>
          <w:szCs w:val="24"/>
          <w:lang w:val="fr" w:eastAsia="fr-CI"/>
          <w14:ligatures w14:val="none"/>
        </w:rPr>
        <w:t xml:space="preserve">Facilité d’Appui aux Entreprises pour des Chaînes </w:t>
      </w:r>
      <w:r w:rsidRPr="00EB0D41">
        <w:rPr>
          <w:rFonts w:ascii="Arial" w:hAnsi="Arial" w:cs="Arial"/>
          <w:b/>
          <w:bCs/>
          <w:kern w:val="0"/>
          <w:lang w:val="fr" w:eastAsia="fr-CI"/>
          <w14:ligatures w14:val="none"/>
        </w:rPr>
        <w:t>de Valeur Agricoles Résilientes</w:t>
      </w:r>
      <w:r w:rsidRPr="00EB0D41">
        <w:rPr>
          <w:rFonts w:ascii="Arial" w:hAnsi="Arial" w:cs="Arial"/>
          <w:kern w:val="0"/>
          <w:lang w:val="fr" w:eastAsia="fr-CI"/>
          <w14:ligatures w14:val="none"/>
        </w:rPr>
        <w:t xml:space="preserve"> » </w:t>
      </w:r>
      <w:r w:rsidRPr="00C27E74">
        <w:rPr>
          <w:rFonts w:ascii="Arial" w:hAnsi="Arial" w:cs="Arial"/>
          <w:kern w:val="0"/>
          <w:lang w:val="fr" w:eastAsia="fr-CI"/>
          <w14:ligatures w14:val="none"/>
        </w:rPr>
        <w:t>est un projet d'Appui au développement des chaînes de valeur agricoles des pays d'Afrique, des Caraïbes et du Pacifique (ACP), cofinancé par l'Union européenne (UE) dans le cadre de l'accord post-Cotonou avec l'Organisation des États d'Afrique, des Caraïbes et du Pacifique (OEACP) et par le ministère fédéral du développement et de la coopération économique (BMZ), et mis en œuvre par la GIZ.</w:t>
      </w:r>
    </w:p>
    <w:p w14:paraId="2B601ECA" w14:textId="77777777" w:rsidR="000A6C14" w:rsidRDefault="000A6C14" w:rsidP="000A6C14">
      <w:pPr>
        <w:spacing w:after="0" w:line="240" w:lineRule="auto"/>
        <w:ind w:right="60"/>
        <w:jc w:val="both"/>
        <w:textAlignment w:val="baseline"/>
        <w:rPr>
          <w:rFonts w:ascii="Arial" w:hAnsi="Arial" w:cs="Arial"/>
          <w:kern w:val="0"/>
          <w:lang w:val="fr" w:eastAsia="fr-CI"/>
          <w14:ligatures w14:val="none"/>
        </w:rPr>
      </w:pPr>
    </w:p>
    <w:p w14:paraId="2189F929" w14:textId="77777777" w:rsidR="000A6C14" w:rsidRPr="006766BE" w:rsidRDefault="000A6C14" w:rsidP="000A6C14">
      <w:pPr>
        <w:spacing w:after="0" w:line="240" w:lineRule="auto"/>
        <w:ind w:right="60"/>
        <w:jc w:val="both"/>
        <w:textAlignment w:val="baseline"/>
        <w:rPr>
          <w:rFonts w:ascii="Arial" w:hAnsi="Arial" w:cs="Arial"/>
          <w:kern w:val="0"/>
          <w:lang w:val="fr" w:eastAsia="fr-CI"/>
          <w14:ligatures w14:val="none"/>
        </w:rPr>
      </w:pPr>
      <w:r w:rsidRPr="006766BE">
        <w:rPr>
          <w:rFonts w:ascii="Arial" w:hAnsi="Arial" w:cs="Arial"/>
          <w:kern w:val="0"/>
          <w:lang w:val="fr" w:eastAsia="fr-CI"/>
          <w14:ligatures w14:val="none"/>
        </w:rPr>
        <w:t xml:space="preserve">Le projet est basé sur une longue expérience de travail avec la promotion de l'agro-industrie durable et le développement de la chaîne de valeur (VC). En se concentrant sur les chaînes de valeur de l'anacarde, du cacao, du maïs et du bétail, le projet vise à contribuer à la résilience économique et climatique des chaînes de valeur mentionnées, ainsi qu'à la sécurité alimentaire, à l'augmentation des revenus et à l'emploi dans les 79 pays ACP sous l'Accord Post-Cotonou. </w:t>
      </w:r>
    </w:p>
    <w:p w14:paraId="45286233" w14:textId="77777777" w:rsidR="000A6C14" w:rsidRDefault="000A6C14" w:rsidP="000A6C14">
      <w:pPr>
        <w:spacing w:after="0" w:line="240" w:lineRule="auto"/>
        <w:ind w:right="60"/>
        <w:jc w:val="both"/>
        <w:textAlignment w:val="baseline"/>
        <w:rPr>
          <w:rFonts w:ascii="Arial" w:hAnsi="Arial" w:cs="Arial"/>
          <w:kern w:val="0"/>
          <w:lang w:val="fr" w:eastAsia="fr-CI"/>
          <w14:ligatures w14:val="none"/>
        </w:rPr>
      </w:pPr>
    </w:p>
    <w:p w14:paraId="394C233B" w14:textId="77777777" w:rsidR="000A6C14" w:rsidRDefault="000A6C14" w:rsidP="000A6C14">
      <w:pPr>
        <w:spacing w:after="0" w:line="240" w:lineRule="auto"/>
        <w:ind w:right="60"/>
        <w:jc w:val="both"/>
        <w:textAlignment w:val="baseline"/>
        <w:rPr>
          <w:rFonts w:ascii="Arial" w:hAnsi="Arial" w:cs="Arial"/>
          <w:kern w:val="0"/>
          <w:lang w:val="fr" w:eastAsia="fr-CI"/>
          <w14:ligatures w14:val="none"/>
        </w:rPr>
      </w:pPr>
      <w:r w:rsidRPr="006766BE">
        <w:rPr>
          <w:rFonts w:ascii="Arial" w:hAnsi="Arial" w:cs="Arial"/>
          <w:kern w:val="0"/>
          <w:lang w:val="fr" w:eastAsia="fr-CI"/>
          <w14:ligatures w14:val="none"/>
        </w:rPr>
        <w:t>Le projet vise à développer et à renforcer les capacités des acteurs des chaînes de valeur agricoles des pays ACP à attirer des financements et des investissements, en</w:t>
      </w:r>
      <w:r w:rsidRPr="006766BE">
        <w:rPr>
          <w:rFonts w:ascii="Arial" w:hAnsi="Arial" w:cs="Arial"/>
          <w:kern w:val="0"/>
          <w:sz w:val="24"/>
          <w:szCs w:val="24"/>
          <w:lang w:val="fr" w:eastAsia="fr-CI"/>
          <w14:ligatures w14:val="none"/>
        </w:rPr>
        <w:t xml:space="preserve"> particulier </w:t>
      </w:r>
      <w:r w:rsidRPr="006766BE">
        <w:rPr>
          <w:rFonts w:ascii="Arial" w:hAnsi="Arial" w:cs="Arial"/>
          <w:kern w:val="0"/>
          <w:lang w:val="fr" w:eastAsia="fr-CI"/>
          <w14:ligatures w14:val="none"/>
        </w:rPr>
        <w:lastRenderedPageBreak/>
        <w:t>vers des pratiques et des chaînes de valeur à faibles émissions et résilientes au climat, à travers les résultats suivants :</w:t>
      </w:r>
    </w:p>
    <w:p w14:paraId="38F06D12" w14:textId="77777777" w:rsidR="000A6C14" w:rsidRPr="006766BE" w:rsidRDefault="000A6C14" w:rsidP="000A6C14">
      <w:pPr>
        <w:spacing w:after="0" w:line="240" w:lineRule="auto"/>
        <w:ind w:right="60"/>
        <w:jc w:val="both"/>
        <w:textAlignment w:val="baseline"/>
        <w:rPr>
          <w:rFonts w:ascii="Arial" w:hAnsi="Arial" w:cs="Arial"/>
          <w:kern w:val="0"/>
          <w:lang w:val="fr" w:eastAsia="fr-CI"/>
          <w14:ligatures w14:val="none"/>
        </w:rPr>
      </w:pPr>
    </w:p>
    <w:p w14:paraId="7A950ED2" w14:textId="77777777" w:rsidR="000A6C14" w:rsidRPr="00EB0D41" w:rsidRDefault="000A6C14" w:rsidP="002503E7">
      <w:pPr>
        <w:numPr>
          <w:ilvl w:val="0"/>
          <w:numId w:val="1"/>
        </w:numPr>
        <w:spacing w:after="0" w:line="240" w:lineRule="auto"/>
        <w:ind w:left="1080" w:firstLine="0"/>
        <w:jc w:val="both"/>
        <w:textAlignment w:val="baseline"/>
        <w:rPr>
          <w:rFonts w:ascii="Arial" w:eastAsia="Times New Roman" w:hAnsi="Arial" w:cs="Arial"/>
          <w:kern w:val="0"/>
          <w:lang w:eastAsia="fr-CI"/>
          <w14:ligatures w14:val="none"/>
        </w:rPr>
      </w:pPr>
      <w:r w:rsidRPr="00EB0D41">
        <w:rPr>
          <w:rFonts w:ascii="Arial" w:hAnsi="Arial" w:cs="Arial"/>
          <w:kern w:val="0"/>
          <w:lang w:val="fr" w:eastAsia="fr-CI"/>
          <w14:ligatures w14:val="none"/>
        </w:rPr>
        <w:t>Les approches et les outils de formation à l'agro-industrie qui ont fait leurs preuves sont mis à l'échelle par le biais de l'apprentissage en ligne à son propre rythme et de l'apprentissage mixte (en ligne et en face-à-face) pour un développement rentable des capacités à grande échelle.</w:t>
      </w:r>
    </w:p>
    <w:p w14:paraId="436692D6" w14:textId="77777777" w:rsidR="000A6C14" w:rsidRPr="00EB0D41" w:rsidRDefault="000A6C14" w:rsidP="000A6C14">
      <w:pPr>
        <w:spacing w:after="0" w:line="240" w:lineRule="auto"/>
        <w:ind w:left="720" w:right="60"/>
        <w:jc w:val="both"/>
        <w:textAlignment w:val="baseline"/>
        <w:rPr>
          <w:rFonts w:ascii="Arial" w:eastAsia="Times New Roman" w:hAnsi="Arial" w:cs="Arial"/>
          <w:kern w:val="0"/>
          <w:lang w:eastAsia="fr-CI"/>
          <w14:ligatures w14:val="none"/>
        </w:rPr>
      </w:pPr>
      <w:r w:rsidRPr="00EB0D41">
        <w:rPr>
          <w:rFonts w:ascii="Arial" w:eastAsia="Times New Roman" w:hAnsi="Arial" w:cs="Arial"/>
          <w:kern w:val="0"/>
          <w:lang w:eastAsia="fr-CI"/>
          <w14:ligatures w14:val="none"/>
        </w:rPr>
        <w:t> </w:t>
      </w:r>
    </w:p>
    <w:p w14:paraId="511C0205" w14:textId="77777777" w:rsidR="000A6C14" w:rsidRPr="00CA3413" w:rsidRDefault="000A6C14" w:rsidP="002503E7">
      <w:pPr>
        <w:numPr>
          <w:ilvl w:val="0"/>
          <w:numId w:val="2"/>
        </w:numPr>
        <w:spacing w:after="0" w:line="240" w:lineRule="auto"/>
        <w:ind w:left="1080" w:firstLine="0"/>
        <w:jc w:val="both"/>
        <w:textAlignment w:val="baseline"/>
        <w:rPr>
          <w:rFonts w:ascii="Arial" w:eastAsia="Times New Roman" w:hAnsi="Arial" w:cs="Arial"/>
          <w:kern w:val="0"/>
          <w:lang w:eastAsia="fr-CI"/>
          <w14:ligatures w14:val="none"/>
        </w:rPr>
      </w:pPr>
      <w:r w:rsidRPr="00EB0D41">
        <w:rPr>
          <w:rFonts w:ascii="Arial" w:hAnsi="Arial" w:cs="Arial"/>
          <w:kern w:val="0"/>
          <w:lang w:val="fr" w:eastAsia="fr-CI"/>
          <w14:ligatures w14:val="none"/>
        </w:rPr>
        <w:t xml:space="preserve">Un fonds de subvention et de contrepartie compétitif (MGF) pour </w:t>
      </w:r>
    </w:p>
    <w:p w14:paraId="3A865155" w14:textId="77777777" w:rsidR="000A6C14" w:rsidRDefault="000A6C14" w:rsidP="000A6C14">
      <w:pPr>
        <w:spacing w:after="0" w:line="240" w:lineRule="auto"/>
        <w:ind w:left="1080"/>
        <w:jc w:val="both"/>
        <w:textAlignment w:val="baseline"/>
        <w:rPr>
          <w:rFonts w:ascii="Arial" w:hAnsi="Arial" w:cs="Arial"/>
          <w:kern w:val="0"/>
          <w:lang w:eastAsia="fr-CI"/>
          <w14:ligatures w14:val="none"/>
        </w:rPr>
      </w:pPr>
    </w:p>
    <w:p w14:paraId="4DEB09B6" w14:textId="77777777" w:rsidR="000A6C14" w:rsidRPr="00EB0D41" w:rsidRDefault="000A6C14" w:rsidP="000A6C14">
      <w:pPr>
        <w:spacing w:after="0" w:line="240" w:lineRule="auto"/>
        <w:ind w:left="1080"/>
        <w:jc w:val="both"/>
        <w:textAlignment w:val="baseline"/>
        <w:rPr>
          <w:rFonts w:ascii="Arial" w:eastAsia="Times New Roman" w:hAnsi="Arial" w:cs="Arial"/>
          <w:kern w:val="0"/>
          <w:lang w:eastAsia="fr-CI"/>
          <w14:ligatures w14:val="none"/>
        </w:rPr>
      </w:pPr>
      <w:r w:rsidRPr="00EB0D41">
        <w:rPr>
          <w:rFonts w:ascii="Arial" w:hAnsi="Arial" w:cs="Arial"/>
          <w:kern w:val="0"/>
          <w:lang w:val="fr" w:eastAsia="fr-CI"/>
          <w14:ligatures w14:val="none"/>
        </w:rPr>
        <w:t>(i) maximiser la portée à travers les pays et les chaînes de valeur</w:t>
      </w:r>
      <w:r w:rsidRPr="00EB0D41">
        <w:rPr>
          <w:rFonts w:ascii="Arial" w:hAnsi="Arial" w:cs="Arial"/>
          <w:kern w:val="0"/>
          <w:lang w:val="fr" w:eastAsia="fr-CI"/>
          <w14:ligatures w14:val="none"/>
        </w:rPr>
        <w:br/>
      </w:r>
    </w:p>
    <w:p w14:paraId="4CE0712B" w14:textId="77777777" w:rsidR="000A6C14" w:rsidRPr="00EB0D41" w:rsidRDefault="000A6C14" w:rsidP="000A6C14">
      <w:pPr>
        <w:spacing w:after="0" w:line="240" w:lineRule="auto"/>
        <w:ind w:left="720" w:right="60"/>
        <w:jc w:val="both"/>
        <w:textAlignment w:val="baseline"/>
        <w:rPr>
          <w:rFonts w:ascii="Arial" w:eastAsia="Times New Roman" w:hAnsi="Arial" w:cs="Arial"/>
          <w:kern w:val="0"/>
          <w:lang w:eastAsia="fr-CI"/>
          <w14:ligatures w14:val="none"/>
        </w:rPr>
      </w:pPr>
      <w:r w:rsidRPr="00EB0D41">
        <w:rPr>
          <w:rFonts w:ascii="Arial" w:hAnsi="Arial" w:cs="Arial"/>
          <w:kern w:val="0"/>
          <w:lang w:val="fr" w:eastAsia="fr-CI"/>
          <w14:ligatures w14:val="none"/>
        </w:rPr>
        <w:t>(ii) favoriser l’excellence et l’appropriation et</w:t>
      </w:r>
    </w:p>
    <w:p w14:paraId="59626798" w14:textId="77777777" w:rsidR="000A6C14" w:rsidRDefault="000A6C14" w:rsidP="000A6C14">
      <w:pPr>
        <w:spacing w:after="0" w:line="240" w:lineRule="auto"/>
        <w:ind w:left="720" w:right="60"/>
        <w:jc w:val="both"/>
        <w:textAlignment w:val="baseline"/>
        <w:rPr>
          <w:rFonts w:ascii="Arial" w:hAnsi="Arial" w:cs="Arial"/>
          <w:kern w:val="0"/>
          <w:lang w:val="fr" w:eastAsia="fr-CI"/>
          <w14:ligatures w14:val="none"/>
        </w:rPr>
      </w:pPr>
      <w:r w:rsidRPr="00EB0D41">
        <w:rPr>
          <w:rFonts w:ascii="Arial" w:hAnsi="Arial" w:cs="Arial"/>
          <w:kern w:val="0"/>
          <w:lang w:val="fr" w:eastAsia="fr-CI"/>
          <w14:ligatures w14:val="none"/>
        </w:rPr>
        <w:t>iii) mobiliser des ressources supplémentaires pour la mise en œuvre. Le MGF concurrentiel doit traduire les orientations stratégiques et thématiques de la composante dans un maximum de 85 projets de consortiums significatifs et rentables impliquant des acteurs privés et publics le long des VC.</w:t>
      </w:r>
    </w:p>
    <w:p w14:paraId="2F2D1E6B" w14:textId="77777777" w:rsidR="000A6C14" w:rsidRPr="00EB0D41" w:rsidRDefault="000A6C14" w:rsidP="000A6C14">
      <w:pPr>
        <w:spacing w:after="0" w:line="240" w:lineRule="auto"/>
        <w:ind w:left="720" w:right="60"/>
        <w:jc w:val="both"/>
        <w:textAlignment w:val="baseline"/>
        <w:rPr>
          <w:rFonts w:ascii="Arial" w:eastAsia="Times New Roman" w:hAnsi="Arial" w:cs="Arial"/>
          <w:kern w:val="0"/>
          <w:lang w:eastAsia="fr-CI"/>
          <w14:ligatures w14:val="none"/>
        </w:rPr>
      </w:pPr>
    </w:p>
    <w:p w14:paraId="70F4AD6F" w14:textId="77777777" w:rsidR="000A6C14" w:rsidRPr="00EB0D41" w:rsidRDefault="000A6C14" w:rsidP="002503E7">
      <w:pPr>
        <w:numPr>
          <w:ilvl w:val="0"/>
          <w:numId w:val="3"/>
        </w:numPr>
        <w:spacing w:after="0" w:line="240" w:lineRule="auto"/>
        <w:ind w:left="1080" w:firstLine="0"/>
        <w:jc w:val="both"/>
        <w:textAlignment w:val="baseline"/>
        <w:rPr>
          <w:rFonts w:ascii="Arial" w:eastAsia="Times New Roman" w:hAnsi="Arial" w:cs="Arial"/>
          <w:kern w:val="0"/>
          <w:lang w:eastAsia="fr-CI"/>
          <w14:ligatures w14:val="none"/>
        </w:rPr>
      </w:pPr>
      <w:r w:rsidRPr="00EB0D41">
        <w:rPr>
          <w:rFonts w:ascii="Arial" w:hAnsi="Arial" w:cs="Arial"/>
          <w:kern w:val="0"/>
          <w:lang w:val="fr" w:eastAsia="fr-CI"/>
          <w14:ligatures w14:val="none"/>
        </w:rPr>
        <w:t>L’expérience et les réalisations au titre des résultats 1 et 2 sont appréciées auprès des partenaires pour l’apprentissage, pour la coopération Sud-Sud, pour la transposition à plus grande échelle et l’institutionnalisation des approches du Mécanisme d’appui aux entreprises.</w:t>
      </w:r>
    </w:p>
    <w:p w14:paraId="75AE6EDC" w14:textId="77777777" w:rsidR="000A6C14" w:rsidRPr="00EB0D41" w:rsidRDefault="000A6C14" w:rsidP="000A6C14">
      <w:pPr>
        <w:spacing w:after="0" w:line="240" w:lineRule="auto"/>
        <w:ind w:right="135"/>
        <w:jc w:val="both"/>
        <w:textAlignment w:val="baseline"/>
        <w:rPr>
          <w:rFonts w:ascii="Arial" w:eastAsia="Times New Roman" w:hAnsi="Arial" w:cs="Arial"/>
          <w:kern w:val="0"/>
          <w:lang w:eastAsia="fr-CI"/>
          <w14:ligatures w14:val="none"/>
        </w:rPr>
      </w:pPr>
      <w:r w:rsidRPr="00EB0D41">
        <w:rPr>
          <w:rFonts w:ascii="Arial" w:eastAsia="Times New Roman" w:hAnsi="Arial" w:cs="Arial"/>
          <w:kern w:val="0"/>
          <w:lang w:eastAsia="fr-CI"/>
          <w14:ligatures w14:val="none"/>
        </w:rPr>
        <w:t> </w:t>
      </w:r>
    </w:p>
    <w:p w14:paraId="3FDFF1B9" w14:textId="77777777" w:rsidR="000A6C14" w:rsidRPr="00EB0D41" w:rsidRDefault="000A6C14" w:rsidP="000A6C14">
      <w:pPr>
        <w:spacing w:after="0" w:line="240" w:lineRule="auto"/>
        <w:ind w:right="60"/>
        <w:jc w:val="both"/>
        <w:textAlignment w:val="baseline"/>
        <w:rPr>
          <w:rFonts w:ascii="Arial" w:eastAsia="Times New Roman" w:hAnsi="Arial" w:cs="Arial"/>
          <w:kern w:val="0"/>
          <w:lang w:eastAsia="fr-CI"/>
          <w14:ligatures w14:val="none"/>
        </w:rPr>
      </w:pPr>
      <w:r w:rsidRPr="00EB0D41">
        <w:rPr>
          <w:rFonts w:ascii="Arial" w:hAnsi="Arial" w:cs="Arial"/>
          <w:kern w:val="0"/>
          <w:lang w:val="fr" w:eastAsia="fr-CI"/>
          <w14:ligatures w14:val="none"/>
        </w:rPr>
        <w:t>Le projet de Facilité d’Appui aux Entreprises pour une Chaîne de valeur agricole résiliente couvre la période allant de mars 2023 à février 2027.</w:t>
      </w:r>
    </w:p>
    <w:p w14:paraId="0D490D2B" w14:textId="77777777" w:rsidR="000A6C14" w:rsidRPr="00EB0D41" w:rsidRDefault="000A6C14" w:rsidP="000A6C14">
      <w:pPr>
        <w:spacing w:after="0" w:line="240" w:lineRule="auto"/>
        <w:ind w:right="60"/>
        <w:jc w:val="both"/>
        <w:textAlignment w:val="baseline"/>
        <w:rPr>
          <w:rFonts w:ascii="Arial" w:eastAsia="Times New Roman" w:hAnsi="Arial" w:cs="Arial"/>
          <w:kern w:val="0"/>
          <w:lang w:eastAsia="fr-CI"/>
          <w14:ligatures w14:val="none"/>
        </w:rPr>
      </w:pPr>
      <w:r w:rsidRPr="00EB0D41">
        <w:rPr>
          <w:rFonts w:ascii="Arial" w:hAnsi="Arial" w:cs="Arial"/>
          <w:kern w:val="0"/>
          <w:lang w:val="fr" w:eastAsia="fr-CI"/>
          <w14:ligatures w14:val="none"/>
        </w:rPr>
        <w:t xml:space="preserve">Le programme est mis en œuvre par deux projets de la Coopération allemande au développement, GIZ, à savoir : MOVE ComCashew qui travaillera dans le secteur du cajou et le projet </w:t>
      </w:r>
      <w:proofErr w:type="spellStart"/>
      <w:r w:rsidRPr="00EB0D41">
        <w:rPr>
          <w:rFonts w:ascii="Arial" w:hAnsi="Arial" w:cs="Arial"/>
          <w:kern w:val="0"/>
          <w:lang w:val="fr" w:eastAsia="fr-CI"/>
          <w14:ligatures w14:val="none"/>
        </w:rPr>
        <w:t>Agri-Business</w:t>
      </w:r>
      <w:proofErr w:type="spellEnd"/>
      <w:r w:rsidRPr="00EB0D41">
        <w:rPr>
          <w:rFonts w:ascii="Arial" w:hAnsi="Arial" w:cs="Arial"/>
          <w:kern w:val="0"/>
          <w:lang w:val="fr" w:eastAsia="fr-CI"/>
          <w14:ligatures w14:val="none"/>
        </w:rPr>
        <w:t xml:space="preserve"> Facility (ABF), qui travaille sur le cacao, le maïs et l’élevage (ovins, caprins, bovins).</w:t>
      </w:r>
      <w:r>
        <w:rPr>
          <w:rFonts w:ascii="Arial" w:hAnsi="Arial" w:cs="Arial"/>
          <w:kern w:val="0"/>
          <w:lang w:val="fr" w:eastAsia="fr-CI"/>
          <w14:ligatures w14:val="none"/>
        </w:rPr>
        <w:t xml:space="preserve"> </w:t>
      </w:r>
      <w:r w:rsidRPr="00502FEE">
        <w:rPr>
          <w:rFonts w:ascii="Arial" w:hAnsi="Arial" w:cs="Arial"/>
          <w:kern w:val="0"/>
          <w:u w:val="single"/>
          <w:lang w:val="fr" w:eastAsia="fr-CI"/>
          <w14:ligatures w14:val="none"/>
        </w:rPr>
        <w:t>L’appel de propositions actuel est organisé par MOVE ComCashew.</w:t>
      </w:r>
    </w:p>
    <w:p w14:paraId="468ADE9F" w14:textId="77777777" w:rsidR="000A6C14" w:rsidRPr="00EB0D41" w:rsidRDefault="000A6C14" w:rsidP="000A6C14">
      <w:pPr>
        <w:spacing w:after="0" w:line="240" w:lineRule="auto"/>
        <w:jc w:val="both"/>
        <w:textAlignment w:val="baseline"/>
        <w:rPr>
          <w:rFonts w:ascii="Arial" w:eastAsia="Times New Roman" w:hAnsi="Arial" w:cs="Arial"/>
          <w:kern w:val="0"/>
          <w:lang w:eastAsia="fr-CI"/>
          <w14:ligatures w14:val="none"/>
        </w:rPr>
      </w:pPr>
      <w:r w:rsidRPr="00EB0D41">
        <w:rPr>
          <w:rFonts w:ascii="Arial" w:eastAsia="Times New Roman" w:hAnsi="Arial" w:cs="Arial"/>
          <w:kern w:val="0"/>
          <w:lang w:eastAsia="fr-CI"/>
          <w14:ligatures w14:val="none"/>
        </w:rPr>
        <w:t> </w:t>
      </w:r>
    </w:p>
    <w:p w14:paraId="588B55D9"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L’initiative MOVE pour la Noix de Cajou Compétitive (MOVE-ComCashew)</w:t>
      </w:r>
    </w:p>
    <w:p w14:paraId="746948BC"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06184B83" w14:textId="77777777" w:rsidR="000A6C14" w:rsidRPr="009163C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Le programme MOVE (</w:t>
      </w:r>
      <w:proofErr w:type="spellStart"/>
      <w:r w:rsidRPr="009163C4">
        <w:rPr>
          <w:rFonts w:ascii="Arial" w:hAnsi="Arial" w:cs="Arial"/>
          <w:kern w:val="0"/>
          <w:sz w:val="24"/>
          <w:szCs w:val="24"/>
          <w:lang w:val="fr" w:eastAsia="fr-CI"/>
          <w14:ligatures w14:val="none"/>
        </w:rPr>
        <w:t>Market-Oriented</w:t>
      </w:r>
      <w:proofErr w:type="spellEnd"/>
      <w:r w:rsidRPr="009163C4">
        <w:rPr>
          <w:rFonts w:ascii="Arial" w:hAnsi="Arial" w:cs="Arial"/>
          <w:kern w:val="0"/>
          <w:sz w:val="24"/>
          <w:szCs w:val="24"/>
          <w:lang w:val="fr" w:eastAsia="fr-CI"/>
          <w14:ligatures w14:val="none"/>
        </w:rPr>
        <w:t xml:space="preserve"> Value </w:t>
      </w:r>
      <w:proofErr w:type="spellStart"/>
      <w:r w:rsidRPr="009163C4">
        <w:rPr>
          <w:rFonts w:ascii="Arial" w:hAnsi="Arial" w:cs="Arial"/>
          <w:kern w:val="0"/>
          <w:sz w:val="24"/>
          <w:szCs w:val="24"/>
          <w:lang w:val="fr" w:eastAsia="fr-CI"/>
          <w14:ligatures w14:val="none"/>
        </w:rPr>
        <w:t>Chains</w:t>
      </w:r>
      <w:proofErr w:type="spellEnd"/>
      <w:r w:rsidRPr="009163C4">
        <w:rPr>
          <w:rFonts w:ascii="Arial" w:hAnsi="Arial" w:cs="Arial"/>
          <w:kern w:val="0"/>
          <w:sz w:val="24"/>
          <w:szCs w:val="24"/>
          <w:lang w:val="fr" w:eastAsia="fr-CI"/>
          <w14:ligatures w14:val="none"/>
        </w:rPr>
        <w:t xml:space="preserve"> for Jobs and </w:t>
      </w:r>
      <w:proofErr w:type="spellStart"/>
      <w:r w:rsidRPr="009163C4">
        <w:rPr>
          <w:rFonts w:ascii="Arial" w:hAnsi="Arial" w:cs="Arial"/>
          <w:kern w:val="0"/>
          <w:sz w:val="24"/>
          <w:szCs w:val="24"/>
          <w:lang w:val="fr" w:eastAsia="fr-CI"/>
          <w14:ligatures w14:val="none"/>
        </w:rPr>
        <w:t>Growth</w:t>
      </w:r>
      <w:proofErr w:type="spellEnd"/>
      <w:r w:rsidRPr="009163C4">
        <w:rPr>
          <w:rFonts w:ascii="Arial" w:hAnsi="Arial" w:cs="Arial"/>
          <w:kern w:val="0"/>
          <w:sz w:val="24"/>
          <w:szCs w:val="24"/>
          <w:lang w:val="fr" w:eastAsia="fr-CI"/>
          <w14:ligatures w14:val="none"/>
        </w:rPr>
        <w:t xml:space="preserve"> in the ECOWAS </w:t>
      </w:r>
      <w:proofErr w:type="spellStart"/>
      <w:r w:rsidRPr="009163C4">
        <w:rPr>
          <w:rFonts w:ascii="Arial" w:hAnsi="Arial" w:cs="Arial"/>
          <w:kern w:val="0"/>
          <w:sz w:val="24"/>
          <w:szCs w:val="24"/>
          <w:lang w:val="fr" w:eastAsia="fr-CI"/>
          <w14:ligatures w14:val="none"/>
        </w:rPr>
        <w:t>Region</w:t>
      </w:r>
      <w:proofErr w:type="spellEnd"/>
      <w:r w:rsidRPr="009163C4">
        <w:rPr>
          <w:rFonts w:ascii="Arial" w:hAnsi="Arial" w:cs="Arial"/>
          <w:kern w:val="0"/>
          <w:sz w:val="24"/>
          <w:szCs w:val="24"/>
          <w:lang w:val="fr" w:eastAsia="fr-CI"/>
          <w14:ligatures w14:val="none"/>
        </w:rPr>
        <w:t xml:space="preserve">) est financé par le BMZ, avec le cofinancement de la Fondation Bill et Melinda Gates (BMGF) pour le riz et de la délégation de l'Union européenne (UE) pour le Ghana.  MOVE vise à accroître la résilience et la compétitivité globales des chaînes de valeur du cajou et du riz dans la région de la CEDEAO et représente la fusion de deux anciens programmes de la GIZ : </w:t>
      </w:r>
      <w:proofErr w:type="spellStart"/>
      <w:r w:rsidRPr="009163C4">
        <w:rPr>
          <w:rFonts w:ascii="Arial" w:hAnsi="Arial" w:cs="Arial"/>
          <w:kern w:val="0"/>
          <w:sz w:val="24"/>
          <w:szCs w:val="24"/>
          <w:lang w:val="fr" w:eastAsia="fr-CI"/>
          <w14:ligatures w14:val="none"/>
        </w:rPr>
        <w:t>Competitive</w:t>
      </w:r>
      <w:proofErr w:type="spellEnd"/>
      <w:r w:rsidRPr="009163C4">
        <w:rPr>
          <w:rFonts w:ascii="Arial" w:hAnsi="Arial" w:cs="Arial"/>
          <w:kern w:val="0"/>
          <w:sz w:val="24"/>
          <w:szCs w:val="24"/>
          <w:lang w:val="fr" w:eastAsia="fr-CI"/>
          <w14:ligatures w14:val="none"/>
        </w:rPr>
        <w:t xml:space="preserve"> </w:t>
      </w:r>
      <w:proofErr w:type="spellStart"/>
      <w:r w:rsidRPr="009163C4">
        <w:rPr>
          <w:rFonts w:ascii="Arial" w:hAnsi="Arial" w:cs="Arial"/>
          <w:kern w:val="0"/>
          <w:sz w:val="24"/>
          <w:szCs w:val="24"/>
          <w:lang w:val="fr" w:eastAsia="fr-CI"/>
          <w14:ligatures w14:val="none"/>
        </w:rPr>
        <w:t>African</w:t>
      </w:r>
      <w:proofErr w:type="spellEnd"/>
      <w:r w:rsidRPr="009163C4">
        <w:rPr>
          <w:rFonts w:ascii="Arial" w:hAnsi="Arial" w:cs="Arial"/>
          <w:kern w:val="0"/>
          <w:sz w:val="24"/>
          <w:szCs w:val="24"/>
          <w:lang w:val="fr" w:eastAsia="fr-CI"/>
          <w14:ligatures w14:val="none"/>
        </w:rPr>
        <w:t xml:space="preserve"> Rice Initiative (CARI) et </w:t>
      </w:r>
      <w:proofErr w:type="spellStart"/>
      <w:r w:rsidRPr="009163C4">
        <w:rPr>
          <w:rFonts w:ascii="Arial" w:hAnsi="Arial" w:cs="Arial"/>
          <w:kern w:val="0"/>
          <w:sz w:val="24"/>
          <w:szCs w:val="24"/>
          <w:lang w:val="fr" w:eastAsia="fr-CI"/>
          <w14:ligatures w14:val="none"/>
        </w:rPr>
        <w:t>Competitive</w:t>
      </w:r>
      <w:proofErr w:type="spellEnd"/>
      <w:r w:rsidRPr="009163C4">
        <w:rPr>
          <w:rFonts w:ascii="Arial" w:hAnsi="Arial" w:cs="Arial"/>
          <w:kern w:val="0"/>
          <w:sz w:val="24"/>
          <w:szCs w:val="24"/>
          <w:lang w:val="fr" w:eastAsia="fr-CI"/>
          <w14:ligatures w14:val="none"/>
        </w:rPr>
        <w:t xml:space="preserve"> Cashew initiative (ComCashew). Les cinq résultats du programme sont les suivants :</w:t>
      </w:r>
    </w:p>
    <w:p w14:paraId="6D1593C3"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6FD2A25D" w14:textId="77777777" w:rsidR="000A6C14" w:rsidRPr="009163C4" w:rsidRDefault="000A6C14" w:rsidP="002503E7">
      <w:pPr>
        <w:numPr>
          <w:ilvl w:val="0"/>
          <w:numId w:val="4"/>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Résultats 1 :</w:t>
      </w:r>
      <w:r w:rsidRPr="009163C4">
        <w:rPr>
          <w:rFonts w:ascii="Arial" w:hAnsi="Arial" w:cs="Arial"/>
          <w:kern w:val="0"/>
          <w:sz w:val="24"/>
          <w:szCs w:val="24"/>
          <w:lang w:val="fr" w:eastAsia="fr-CI"/>
          <w14:ligatures w14:val="none"/>
        </w:rPr>
        <w:t xml:space="preserve"> Accroître la création de valeur de la transformation dans la région de la CEDEAO. </w:t>
      </w:r>
    </w:p>
    <w:p w14:paraId="7EABB3CE" w14:textId="77777777" w:rsidR="000A6C14" w:rsidRPr="009163C4" w:rsidRDefault="000A6C14" w:rsidP="002503E7">
      <w:pPr>
        <w:numPr>
          <w:ilvl w:val="0"/>
          <w:numId w:val="4"/>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Résultats 2 :</w:t>
      </w:r>
      <w:r w:rsidRPr="009163C4">
        <w:rPr>
          <w:rFonts w:ascii="Arial" w:hAnsi="Arial" w:cs="Arial"/>
          <w:kern w:val="0"/>
          <w:sz w:val="24"/>
          <w:szCs w:val="24"/>
          <w:lang w:val="fr" w:eastAsia="fr-CI"/>
          <w14:ligatures w14:val="none"/>
        </w:rPr>
        <w:t xml:space="preserve"> Améliorer la viabilité économique et environnementale des systèmes agricoles.</w:t>
      </w:r>
    </w:p>
    <w:p w14:paraId="1C1DE6F1" w14:textId="77777777" w:rsidR="000A6C14" w:rsidRPr="009163C4" w:rsidRDefault="000A6C14" w:rsidP="002503E7">
      <w:pPr>
        <w:numPr>
          <w:ilvl w:val="0"/>
          <w:numId w:val="4"/>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Résultats 3 :</w:t>
      </w:r>
      <w:r w:rsidRPr="009163C4">
        <w:rPr>
          <w:rFonts w:ascii="Arial" w:hAnsi="Arial" w:cs="Arial"/>
          <w:kern w:val="0"/>
          <w:sz w:val="24"/>
          <w:szCs w:val="24"/>
          <w:lang w:val="fr" w:eastAsia="fr-CI"/>
          <w14:ligatures w14:val="none"/>
        </w:rPr>
        <w:t xml:space="preserve"> Amélioration de la commercialisation des produits régionaux.</w:t>
      </w:r>
    </w:p>
    <w:p w14:paraId="42315DD4" w14:textId="77777777" w:rsidR="000A6C14" w:rsidRPr="009163C4" w:rsidRDefault="000A6C14" w:rsidP="002503E7">
      <w:pPr>
        <w:numPr>
          <w:ilvl w:val="0"/>
          <w:numId w:val="4"/>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Résultats 4 :</w:t>
      </w:r>
      <w:r w:rsidRPr="009163C4">
        <w:rPr>
          <w:rFonts w:ascii="Arial" w:hAnsi="Arial" w:cs="Arial"/>
          <w:kern w:val="0"/>
          <w:sz w:val="24"/>
          <w:szCs w:val="24"/>
          <w:lang w:val="fr" w:eastAsia="fr-CI"/>
          <w14:ligatures w14:val="none"/>
        </w:rPr>
        <w:t xml:space="preserve"> Diffusion des bonnes pratiques en matière de promotion de modèles commerciaux inclusifs.</w:t>
      </w:r>
    </w:p>
    <w:p w14:paraId="7AE96348" w14:textId="77777777" w:rsidR="000A6C14" w:rsidRPr="009163C4" w:rsidRDefault="000A6C14" w:rsidP="002503E7">
      <w:pPr>
        <w:numPr>
          <w:ilvl w:val="0"/>
          <w:numId w:val="4"/>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Résultats 5 :</w:t>
      </w:r>
      <w:r w:rsidRPr="009163C4">
        <w:rPr>
          <w:rFonts w:ascii="Arial" w:hAnsi="Arial" w:cs="Arial"/>
          <w:kern w:val="0"/>
          <w:sz w:val="24"/>
          <w:szCs w:val="24"/>
          <w:lang w:val="fr" w:eastAsia="fr-CI"/>
          <w14:ligatures w14:val="none"/>
        </w:rPr>
        <w:t xml:space="preserve"> Renforcement de la coopération entre les secteurs public et privé dans l’élaboration des politiques.</w:t>
      </w:r>
    </w:p>
    <w:p w14:paraId="6692B61E"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5618B92" w14:textId="77777777" w:rsidR="000A6C14" w:rsidRDefault="000A6C14" w:rsidP="000A6C14">
      <w:pPr>
        <w:spacing w:after="0" w:line="240" w:lineRule="auto"/>
        <w:textAlignment w:val="baseline"/>
        <w:rPr>
          <w:rFonts w:ascii="Arial" w:hAnsi="Arial" w:cs="Arial"/>
          <w:b/>
          <w:bCs/>
          <w:color w:val="2F5496"/>
          <w:kern w:val="0"/>
          <w:sz w:val="24"/>
          <w:szCs w:val="24"/>
          <w:lang w:val="fr" w:eastAsia="fr-CI"/>
          <w14:ligatures w14:val="none"/>
        </w:rPr>
      </w:pPr>
    </w:p>
    <w:p w14:paraId="2A341E62"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lastRenderedPageBreak/>
        <w:t>Fonds de contrepartie</w:t>
      </w:r>
    </w:p>
    <w:p w14:paraId="2C7E4DE0" w14:textId="77777777" w:rsidR="000A6C14" w:rsidRPr="009163C4" w:rsidRDefault="000A6C14" w:rsidP="000A6C14">
      <w:pPr>
        <w:spacing w:after="0" w:line="240" w:lineRule="auto"/>
        <w:jc w:val="both"/>
        <w:textAlignment w:val="baseline"/>
        <w:rPr>
          <w:rFonts w:ascii="Arial" w:hAnsi="Arial" w:cs="Arial"/>
          <w:color w:val="000000"/>
          <w:kern w:val="0"/>
          <w:sz w:val="24"/>
          <w:szCs w:val="24"/>
          <w:lang w:val="fr" w:eastAsia="fr-CI"/>
          <w14:ligatures w14:val="none"/>
        </w:rPr>
      </w:pPr>
      <w:r w:rsidRPr="009163C4">
        <w:rPr>
          <w:rFonts w:ascii="Arial" w:hAnsi="Arial" w:cs="Arial"/>
          <w:kern w:val="0"/>
          <w:sz w:val="24"/>
          <w:szCs w:val="24"/>
          <w:lang w:val="fr" w:eastAsia="fr-CI"/>
          <w14:ligatures w14:val="none"/>
        </w:rPr>
        <w:t xml:space="preserve">Le </w:t>
      </w:r>
      <w:proofErr w:type="gramStart"/>
      <w:r w:rsidRPr="009163C4">
        <w:rPr>
          <w:rFonts w:ascii="Arial" w:hAnsi="Arial" w:cs="Arial"/>
          <w:kern w:val="0"/>
          <w:sz w:val="24"/>
          <w:szCs w:val="24"/>
          <w:lang w:val="fr" w:eastAsia="fr-CI"/>
          <w14:ligatures w14:val="none"/>
        </w:rPr>
        <w:t>Fonds  de</w:t>
      </w:r>
      <w:proofErr w:type="gramEnd"/>
      <w:r w:rsidRPr="009163C4">
        <w:rPr>
          <w:rFonts w:ascii="Arial" w:hAnsi="Arial" w:cs="Arial"/>
          <w:kern w:val="0"/>
          <w:sz w:val="24"/>
          <w:szCs w:val="24"/>
          <w:lang w:val="fr" w:eastAsia="fr-CI"/>
          <w14:ligatures w14:val="none"/>
        </w:rPr>
        <w:t xml:space="preserve"> contrepartie est l'un des outils de financement de la GIZ qui sera utilisé dans la mise en œuvre de la Facilité de d'Appui aux Entreprises pour les Chaînes de Valeur Agricoles Résilientes (Business Support Facility for Résilient Agricultural Value </w:t>
      </w:r>
      <w:proofErr w:type="spellStart"/>
      <w:r w:rsidRPr="009163C4">
        <w:rPr>
          <w:rFonts w:ascii="Arial" w:hAnsi="Arial" w:cs="Arial"/>
          <w:kern w:val="0"/>
          <w:sz w:val="24"/>
          <w:szCs w:val="24"/>
          <w:lang w:val="fr" w:eastAsia="fr-CI"/>
          <w14:ligatures w14:val="none"/>
        </w:rPr>
        <w:t>Chains</w:t>
      </w:r>
      <w:proofErr w:type="spellEnd"/>
      <w:r w:rsidRPr="009163C4">
        <w:rPr>
          <w:rFonts w:ascii="Arial" w:hAnsi="Arial" w:cs="Arial"/>
          <w:kern w:val="0"/>
          <w:sz w:val="24"/>
          <w:szCs w:val="24"/>
          <w:lang w:val="fr" w:eastAsia="fr-CI"/>
          <w14:ligatures w14:val="none"/>
        </w:rPr>
        <w:t xml:space="preserve"> Project Output 2)</w:t>
      </w:r>
      <w:r w:rsidRPr="009163C4">
        <w:rPr>
          <w:rFonts w:ascii="Arial" w:hAnsi="Arial" w:cs="Arial"/>
          <w:color w:val="000000"/>
          <w:kern w:val="0"/>
          <w:sz w:val="24"/>
          <w:szCs w:val="24"/>
          <w:lang w:val="fr" w:eastAsia="fr-CI"/>
          <w14:ligatures w14:val="none"/>
        </w:rPr>
        <w:t>. Il sera utilisé comme un instrument pour mobiliser les contributions des acteurs du secteur privé tels que les transformateurs, les organisations paysannes, les acheteurs ou les acheteurs de cajou et de ses sous-produits dans les pays ACP ciblés.</w:t>
      </w:r>
    </w:p>
    <w:p w14:paraId="047E4DAA"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7C762A93" w14:textId="77777777" w:rsidR="000A6C14" w:rsidRPr="009163C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Dans le cadre du Fonds de de contrepartie </w:t>
      </w:r>
      <w:proofErr w:type="gramStart"/>
      <w:r w:rsidRPr="009163C4">
        <w:rPr>
          <w:rFonts w:ascii="Arial" w:hAnsi="Arial" w:cs="Arial"/>
          <w:kern w:val="0"/>
          <w:sz w:val="24"/>
          <w:szCs w:val="24"/>
          <w:lang w:val="fr" w:eastAsia="fr-CI"/>
          <w14:ligatures w14:val="none"/>
        </w:rPr>
        <w:t>compétiti</w:t>
      </w:r>
      <w:r>
        <w:rPr>
          <w:rFonts w:ascii="Arial" w:hAnsi="Arial" w:cs="Arial"/>
          <w:kern w:val="0"/>
          <w:sz w:val="24"/>
          <w:szCs w:val="24"/>
          <w:lang w:val="fr" w:eastAsia="fr-CI"/>
          <w14:ligatures w14:val="none"/>
        </w:rPr>
        <w:t xml:space="preserve">f </w:t>
      </w:r>
      <w:r w:rsidRPr="009163C4">
        <w:rPr>
          <w:rFonts w:ascii="Arial" w:hAnsi="Arial" w:cs="Arial"/>
          <w:kern w:val="0"/>
          <w:sz w:val="24"/>
          <w:szCs w:val="24"/>
          <w:lang w:val="fr" w:eastAsia="fr-CI"/>
          <w14:ligatures w14:val="none"/>
        </w:rPr>
        <w:t>,</w:t>
      </w:r>
      <w:proofErr w:type="gramEnd"/>
      <w:r w:rsidRPr="009163C4">
        <w:rPr>
          <w:rFonts w:ascii="Arial" w:hAnsi="Arial" w:cs="Arial"/>
          <w:kern w:val="0"/>
          <w:sz w:val="24"/>
          <w:szCs w:val="24"/>
          <w:lang w:val="fr" w:eastAsia="fr-CI"/>
          <w14:ligatures w14:val="none"/>
        </w:rPr>
        <w:t xml:space="preserve"> les partenaires du secteur privé peuvent demander des subventions en soumettant des propositions de projet pour travailler en collaboration sur des défis sélectionnés de la chaîne de valeur du cajou.  Les subventions seront ensuite évaluées et attribuées sur la base d'un ensemble de critères d'éligibilité, y compris une exigence de partage des coûts de la part du bénéficiaire de la subvention.</w:t>
      </w:r>
    </w:p>
    <w:p w14:paraId="5C4C55F7"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778ADBA3" w14:textId="77777777" w:rsidR="000A6C14" w:rsidRPr="009163C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Le </w:t>
      </w:r>
      <w:proofErr w:type="gramStart"/>
      <w:r w:rsidRPr="009163C4">
        <w:rPr>
          <w:rFonts w:ascii="Arial" w:hAnsi="Arial" w:cs="Arial"/>
          <w:kern w:val="0"/>
          <w:sz w:val="24"/>
          <w:szCs w:val="24"/>
          <w:lang w:val="fr" w:eastAsia="fr-CI"/>
          <w14:ligatures w14:val="none"/>
        </w:rPr>
        <w:t>Fonds  de</w:t>
      </w:r>
      <w:proofErr w:type="gramEnd"/>
      <w:r w:rsidRPr="009163C4">
        <w:rPr>
          <w:rFonts w:ascii="Arial" w:hAnsi="Arial" w:cs="Arial"/>
          <w:kern w:val="0"/>
          <w:sz w:val="24"/>
          <w:szCs w:val="24"/>
          <w:lang w:val="fr" w:eastAsia="fr-CI"/>
          <w14:ligatures w14:val="none"/>
        </w:rPr>
        <w:t xml:space="preserve"> contrepartie sera directement lié aux résultats 1, 2 et 5, dans le but d'augmenter les revenus des producteurs de cajou et/ou d'encourager un modèle d'entreprise renforcé qui améliorera la rentabilité de l'entreprise, grâce à un fonds correctement conçu et mis en œuvre. Le fonds devrait accroître la productivité, la résilience climatique, l'inclusion (femmes et jeunes), les liens avec la chaîne d'approvisionnement et la rentabilité de la chaîne de valeur du cajou.</w:t>
      </w:r>
    </w:p>
    <w:p w14:paraId="25190689"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4C1C753C" w14:textId="77777777" w:rsidR="000A6C14" w:rsidRPr="009163C4" w:rsidRDefault="000A6C14" w:rsidP="000A6C14">
      <w:pPr>
        <w:spacing w:after="0" w:line="240" w:lineRule="auto"/>
        <w:jc w:val="both"/>
        <w:textAlignment w:val="baseline"/>
        <w:rPr>
          <w:rFonts w:ascii="Arial" w:hAnsi="Arial" w:cs="Arial"/>
          <w:b/>
          <w:bCs/>
          <w:color w:val="808080"/>
          <w:kern w:val="0"/>
          <w:sz w:val="24"/>
          <w:szCs w:val="24"/>
          <w:lang w:val="fr" w:eastAsia="fr-CI"/>
          <w14:ligatures w14:val="none"/>
        </w:rPr>
      </w:pPr>
    </w:p>
    <w:p w14:paraId="7ACA52DD" w14:textId="77777777" w:rsidR="000A6C14" w:rsidRPr="009163C4" w:rsidRDefault="000A6C14" w:rsidP="000A6C14">
      <w:pPr>
        <w:spacing w:after="0" w:line="240" w:lineRule="auto"/>
        <w:jc w:val="both"/>
        <w:textAlignment w:val="baseline"/>
        <w:rPr>
          <w:rFonts w:ascii="Arial" w:hAnsi="Arial" w:cs="Arial"/>
          <w:b/>
          <w:bCs/>
          <w:color w:val="808080"/>
          <w:kern w:val="0"/>
          <w:sz w:val="24"/>
          <w:szCs w:val="24"/>
          <w:lang w:val="fr" w:eastAsia="fr-CI"/>
          <w14:ligatures w14:val="none"/>
        </w:rPr>
      </w:pPr>
    </w:p>
    <w:p w14:paraId="3ED9E0D8" w14:textId="77777777" w:rsidR="000A6C14" w:rsidRPr="009163C4" w:rsidRDefault="000A6C14" w:rsidP="000A6C14">
      <w:pPr>
        <w:spacing w:after="0" w:line="240" w:lineRule="auto"/>
        <w:jc w:val="both"/>
        <w:textAlignment w:val="baseline"/>
        <w:rPr>
          <w:rFonts w:ascii="Arial" w:eastAsia="Times New Roman" w:hAnsi="Arial" w:cs="Arial"/>
          <w:b/>
          <w:bCs/>
          <w:color w:val="808080"/>
          <w:kern w:val="0"/>
          <w:sz w:val="24"/>
          <w:szCs w:val="24"/>
          <w:lang w:eastAsia="fr-CI"/>
          <w14:ligatures w14:val="none"/>
        </w:rPr>
      </w:pPr>
      <w:r w:rsidRPr="009163C4">
        <w:rPr>
          <w:rFonts w:ascii="Arial" w:hAnsi="Arial" w:cs="Arial"/>
          <w:b/>
          <w:bCs/>
          <w:color w:val="808080"/>
          <w:kern w:val="0"/>
          <w:sz w:val="24"/>
          <w:szCs w:val="24"/>
          <w:lang w:val="fr" w:eastAsia="fr-CI"/>
          <w14:ligatures w14:val="none"/>
        </w:rPr>
        <w:t xml:space="preserve">Section </w:t>
      </w:r>
      <w:r>
        <w:rPr>
          <w:rFonts w:ascii="Arial" w:hAnsi="Arial" w:cs="Arial"/>
          <w:b/>
          <w:bCs/>
          <w:color w:val="808080"/>
          <w:kern w:val="0"/>
          <w:sz w:val="24"/>
          <w:szCs w:val="24"/>
          <w:lang w:val="fr" w:eastAsia="fr-CI"/>
          <w14:ligatures w14:val="none"/>
        </w:rPr>
        <w:t>4</w:t>
      </w:r>
      <w:r w:rsidRPr="009163C4">
        <w:rPr>
          <w:rFonts w:ascii="Arial" w:hAnsi="Arial" w:cs="Arial"/>
          <w:b/>
          <w:bCs/>
          <w:color w:val="808080"/>
          <w:kern w:val="0"/>
          <w:sz w:val="24"/>
          <w:szCs w:val="24"/>
          <w:lang w:val="fr" w:eastAsia="fr-CI"/>
          <w14:ligatures w14:val="none"/>
        </w:rPr>
        <w:t xml:space="preserve"> : Directives pour les demandes de fonds de subvention et de contrepartie </w:t>
      </w:r>
    </w:p>
    <w:p w14:paraId="4793A259" w14:textId="77777777" w:rsidR="000A6C14" w:rsidRDefault="000A6C14" w:rsidP="000A6C14">
      <w:pPr>
        <w:spacing w:after="0" w:line="240" w:lineRule="auto"/>
        <w:textAlignment w:val="baseline"/>
        <w:rPr>
          <w:rFonts w:ascii="Arial" w:hAnsi="Arial" w:cs="Arial"/>
          <w:b/>
          <w:bCs/>
          <w:color w:val="2F5496"/>
          <w:kern w:val="0"/>
          <w:sz w:val="24"/>
          <w:szCs w:val="24"/>
          <w:lang w:val="fr" w:eastAsia="fr-CI"/>
          <w14:ligatures w14:val="none"/>
        </w:rPr>
      </w:pPr>
    </w:p>
    <w:p w14:paraId="05C80F0C"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Objectif du</w:t>
      </w:r>
      <w:r>
        <w:rPr>
          <w:rFonts w:ascii="Arial" w:hAnsi="Arial" w:cs="Arial"/>
          <w:b/>
          <w:bCs/>
          <w:color w:val="2F5496"/>
          <w:kern w:val="0"/>
          <w:sz w:val="24"/>
          <w:szCs w:val="24"/>
          <w:lang w:val="fr" w:eastAsia="fr-CI"/>
          <w14:ligatures w14:val="none"/>
        </w:rPr>
        <w:t xml:space="preserve"> Fonds de Contrepartie Compétitif</w:t>
      </w:r>
      <w:r w:rsidRPr="009163C4">
        <w:rPr>
          <w:rFonts w:ascii="Arial" w:hAnsi="Arial" w:cs="Arial"/>
          <w:b/>
          <w:bCs/>
          <w:color w:val="2F5496"/>
          <w:kern w:val="0"/>
          <w:sz w:val="24"/>
          <w:szCs w:val="24"/>
          <w:lang w:val="fr" w:eastAsia="fr-CI"/>
          <w14:ligatures w14:val="none"/>
        </w:rPr>
        <w:t xml:space="preserve"> MGF</w:t>
      </w:r>
    </w:p>
    <w:p w14:paraId="66F5E33F" w14:textId="77777777" w:rsidR="000A6C14" w:rsidRDefault="000A6C14" w:rsidP="000A6C14">
      <w:pPr>
        <w:spacing w:after="0" w:line="240" w:lineRule="auto"/>
        <w:jc w:val="both"/>
        <w:textAlignment w:val="baseline"/>
        <w:rPr>
          <w:rFonts w:ascii="Arial" w:hAnsi="Arial" w:cs="Arial"/>
          <w:kern w:val="0"/>
          <w:sz w:val="24"/>
          <w:szCs w:val="24"/>
          <w:lang w:eastAsia="fr-CI"/>
          <w14:ligatures w14:val="none"/>
        </w:rPr>
      </w:pPr>
    </w:p>
    <w:p w14:paraId="021BE851" w14:textId="77777777" w:rsidR="000A6C14" w:rsidRPr="009163C4" w:rsidRDefault="000A6C14" w:rsidP="000A6C14">
      <w:pPr>
        <w:spacing w:after="0" w:line="240" w:lineRule="auto"/>
        <w:jc w:val="both"/>
        <w:textAlignment w:val="baseline"/>
        <w:rPr>
          <w:rFonts w:ascii="Arial" w:hAnsi="Arial" w:cs="Arial"/>
          <w:kern w:val="0"/>
          <w:sz w:val="24"/>
          <w:szCs w:val="24"/>
          <w:lang w:eastAsia="fr-CI"/>
          <w14:ligatures w14:val="none"/>
        </w:rPr>
      </w:pPr>
      <w:r w:rsidRPr="009163C4">
        <w:rPr>
          <w:rFonts w:ascii="Arial" w:hAnsi="Arial" w:cs="Arial"/>
          <w:kern w:val="0"/>
          <w:sz w:val="24"/>
          <w:szCs w:val="24"/>
          <w:lang w:val="fr" w:eastAsia="fr-CI"/>
          <w14:ligatures w14:val="none"/>
        </w:rPr>
        <w:t>L'objectif global du Fonds de contrepartie compétitif est de mobiliser les contributions des partenaires pour la mise en œuvre d'interventions spécifiques visant à développer la chaîne de valeur du cajou et à renforcer l'appropriation afin de stimuler une croissance durable dans le secteur du cajou, de renforcer le développement du secteur privé et d'améliorer la productivité et la rentabilité des acteurs de la chaîne de valeur du cajou dans les 79 pays ACP (Afrique, Caraïbes et Pacifique).</w:t>
      </w:r>
    </w:p>
    <w:p w14:paraId="03AC2BA5"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7F12FF9A"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16E4C3A7" w14:textId="77777777" w:rsidR="000A6C14" w:rsidRPr="009E132B"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r w:rsidRPr="009163C4">
        <w:rPr>
          <w:rFonts w:ascii="Arial" w:hAnsi="Arial" w:cs="Arial"/>
          <w:b/>
          <w:bCs/>
          <w:color w:val="2F5496"/>
          <w:kern w:val="0"/>
          <w:sz w:val="24"/>
          <w:szCs w:val="24"/>
          <w:lang w:val="fr" w:eastAsia="fr-CI"/>
          <w14:ligatures w14:val="none"/>
        </w:rPr>
        <w:t>Qui peut postuler au Fonds de contrepartie ?</w:t>
      </w:r>
    </w:p>
    <w:p w14:paraId="6132AD04" w14:textId="77777777" w:rsidR="000A6C14" w:rsidRDefault="000A6C14" w:rsidP="000A6C14">
      <w:pPr>
        <w:spacing w:after="0" w:line="240" w:lineRule="auto"/>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Vous trouverez ci-dessous une demande de fonds de contrepartie dans le cadre d’un consortium.</w:t>
      </w:r>
    </w:p>
    <w:p w14:paraId="70245A00"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p>
    <w:p w14:paraId="3D9DB340" w14:textId="77777777" w:rsidR="000A6C14" w:rsidRPr="007C05EB" w:rsidRDefault="000A6C14" w:rsidP="002503E7">
      <w:pPr>
        <w:numPr>
          <w:ilvl w:val="0"/>
          <w:numId w:val="5"/>
        </w:numPr>
        <w:spacing w:after="0" w:line="240" w:lineRule="auto"/>
        <w:jc w:val="both"/>
        <w:textAlignment w:val="baseline"/>
        <w:rPr>
          <w:rFonts w:ascii="Arial" w:hAnsi="Arial" w:cs="Arial"/>
          <w:kern w:val="0"/>
          <w:sz w:val="24"/>
          <w:szCs w:val="24"/>
          <w:lang w:val="fr" w:eastAsia="fr-CI"/>
          <w14:ligatures w14:val="none"/>
        </w:rPr>
      </w:pPr>
      <w:r w:rsidRPr="007C05EB">
        <w:rPr>
          <w:rFonts w:ascii="Arial" w:hAnsi="Arial" w:cs="Arial"/>
          <w:kern w:val="0"/>
          <w:sz w:val="24"/>
          <w:szCs w:val="24"/>
          <w:lang w:val="fr" w:eastAsia="fr-CI"/>
          <w14:ligatures w14:val="none"/>
        </w:rPr>
        <w:t xml:space="preserve"> Entreprises de transformation </w:t>
      </w:r>
    </w:p>
    <w:p w14:paraId="65F284D3" w14:textId="77777777" w:rsidR="000A6C14" w:rsidRPr="007C05EB" w:rsidRDefault="000A6C14" w:rsidP="002503E7">
      <w:pPr>
        <w:numPr>
          <w:ilvl w:val="0"/>
          <w:numId w:val="5"/>
        </w:numPr>
        <w:spacing w:after="0" w:line="240" w:lineRule="auto"/>
        <w:jc w:val="both"/>
        <w:textAlignment w:val="baseline"/>
        <w:rPr>
          <w:rFonts w:ascii="Arial" w:hAnsi="Arial" w:cs="Arial"/>
          <w:kern w:val="0"/>
          <w:sz w:val="24"/>
          <w:szCs w:val="24"/>
          <w:lang w:val="fr" w:eastAsia="fr-CI"/>
          <w14:ligatures w14:val="none"/>
        </w:rPr>
      </w:pPr>
      <w:r w:rsidRPr="007C05EB">
        <w:rPr>
          <w:rFonts w:ascii="Arial" w:hAnsi="Arial" w:cs="Arial"/>
          <w:kern w:val="0"/>
          <w:sz w:val="24"/>
          <w:szCs w:val="24"/>
          <w:lang w:val="fr" w:eastAsia="fr-CI"/>
          <w14:ligatures w14:val="none"/>
        </w:rPr>
        <w:t xml:space="preserve"> Organisations de producteurs agricoles/ structures/réseaux enregistrés ou pré-coopératifs (GIC et unions de GIC).</w:t>
      </w:r>
    </w:p>
    <w:p w14:paraId="23DE860B" w14:textId="77777777" w:rsidR="000A6C14" w:rsidRPr="007C05EB" w:rsidRDefault="000A6C14" w:rsidP="002503E7">
      <w:pPr>
        <w:numPr>
          <w:ilvl w:val="0"/>
          <w:numId w:val="5"/>
        </w:numPr>
        <w:spacing w:after="0" w:line="240" w:lineRule="auto"/>
        <w:jc w:val="both"/>
        <w:textAlignment w:val="baseline"/>
        <w:rPr>
          <w:rFonts w:ascii="Arial" w:hAnsi="Arial" w:cs="Arial"/>
          <w:kern w:val="0"/>
          <w:sz w:val="24"/>
          <w:szCs w:val="24"/>
          <w:lang w:val="fr" w:eastAsia="fr-CI"/>
          <w14:ligatures w14:val="none"/>
        </w:rPr>
      </w:pPr>
      <w:r w:rsidRPr="007C05EB">
        <w:rPr>
          <w:rFonts w:ascii="Arial" w:hAnsi="Arial" w:cs="Arial"/>
          <w:kern w:val="0"/>
          <w:sz w:val="24"/>
          <w:szCs w:val="24"/>
          <w:lang w:val="fr" w:eastAsia="fr-CI"/>
          <w14:ligatures w14:val="none"/>
        </w:rPr>
        <w:t xml:space="preserve">Organismes de recherche privés ou publics/Universités </w:t>
      </w:r>
    </w:p>
    <w:p w14:paraId="2AC92359" w14:textId="77777777" w:rsidR="000A6C14" w:rsidRPr="007C05EB" w:rsidRDefault="000A6C14" w:rsidP="002503E7">
      <w:pPr>
        <w:numPr>
          <w:ilvl w:val="0"/>
          <w:numId w:val="5"/>
        </w:numPr>
        <w:spacing w:after="0" w:line="240" w:lineRule="auto"/>
        <w:jc w:val="both"/>
        <w:textAlignment w:val="baseline"/>
        <w:rPr>
          <w:rFonts w:ascii="Arial" w:hAnsi="Arial" w:cs="Arial"/>
          <w:kern w:val="0"/>
          <w:sz w:val="24"/>
          <w:szCs w:val="24"/>
          <w:lang w:val="fr" w:eastAsia="fr-CI"/>
          <w14:ligatures w14:val="none"/>
        </w:rPr>
      </w:pPr>
      <w:r w:rsidRPr="007C05EB">
        <w:rPr>
          <w:rFonts w:ascii="Arial" w:hAnsi="Arial" w:cs="Arial"/>
          <w:kern w:val="0"/>
          <w:sz w:val="24"/>
          <w:szCs w:val="24"/>
          <w:lang w:val="fr" w:eastAsia="fr-CI"/>
          <w14:ligatures w14:val="none"/>
        </w:rPr>
        <w:t>Détaillants de la noix de cajou et de ses sous-produits</w:t>
      </w:r>
    </w:p>
    <w:p w14:paraId="015DCE86" w14:textId="77777777" w:rsidR="000A6C14" w:rsidRPr="007C05EB" w:rsidRDefault="000A6C14" w:rsidP="002503E7">
      <w:pPr>
        <w:numPr>
          <w:ilvl w:val="0"/>
          <w:numId w:val="5"/>
        </w:numPr>
        <w:spacing w:after="0" w:line="240" w:lineRule="auto"/>
        <w:jc w:val="both"/>
        <w:textAlignment w:val="baseline"/>
        <w:rPr>
          <w:rFonts w:ascii="Arial" w:hAnsi="Arial" w:cs="Arial"/>
          <w:kern w:val="0"/>
          <w:sz w:val="24"/>
          <w:szCs w:val="24"/>
          <w:lang w:val="fr" w:eastAsia="fr-CI"/>
          <w14:ligatures w14:val="none"/>
        </w:rPr>
      </w:pPr>
      <w:r w:rsidRPr="007C05EB">
        <w:rPr>
          <w:rFonts w:ascii="Arial" w:hAnsi="Arial" w:cs="Arial"/>
          <w:kern w:val="0"/>
          <w:sz w:val="24"/>
          <w:szCs w:val="24"/>
          <w:lang w:val="fr" w:eastAsia="fr-CI"/>
          <w14:ligatures w14:val="none"/>
        </w:rPr>
        <w:t>Sociétés de négoce/achat.</w:t>
      </w:r>
    </w:p>
    <w:p w14:paraId="06C89F35" w14:textId="77777777" w:rsidR="000A6C14" w:rsidRPr="007C05EB" w:rsidRDefault="000A6C14" w:rsidP="002503E7">
      <w:pPr>
        <w:numPr>
          <w:ilvl w:val="0"/>
          <w:numId w:val="5"/>
        </w:numPr>
        <w:spacing w:after="0" w:line="240" w:lineRule="auto"/>
        <w:jc w:val="both"/>
        <w:textAlignment w:val="baseline"/>
        <w:rPr>
          <w:rFonts w:ascii="Arial" w:hAnsi="Arial" w:cs="Arial"/>
          <w:kern w:val="0"/>
          <w:sz w:val="24"/>
          <w:szCs w:val="24"/>
          <w:lang w:val="fr" w:eastAsia="fr-CI"/>
          <w14:ligatures w14:val="none"/>
        </w:rPr>
      </w:pPr>
      <w:r w:rsidRPr="007C05EB">
        <w:rPr>
          <w:rFonts w:ascii="Arial" w:hAnsi="Arial" w:cs="Arial"/>
          <w:kern w:val="0"/>
          <w:sz w:val="24"/>
          <w:szCs w:val="24"/>
          <w:lang w:val="fr" w:eastAsia="fr-CI"/>
          <w14:ligatures w14:val="none"/>
        </w:rPr>
        <w:t xml:space="preserve">Fondations du secteur privé </w:t>
      </w:r>
    </w:p>
    <w:p w14:paraId="59907464" w14:textId="77777777" w:rsidR="000A6C14" w:rsidRPr="003F03CB" w:rsidRDefault="000A6C14" w:rsidP="002503E7">
      <w:pPr>
        <w:numPr>
          <w:ilvl w:val="0"/>
          <w:numId w:val="5"/>
        </w:numPr>
        <w:spacing w:after="0" w:line="240" w:lineRule="auto"/>
        <w:jc w:val="both"/>
        <w:textAlignment w:val="baseline"/>
        <w:rPr>
          <w:rFonts w:ascii="Arial" w:hAnsi="Arial" w:cs="Arial"/>
          <w:kern w:val="0"/>
          <w:sz w:val="24"/>
          <w:szCs w:val="24"/>
          <w:lang w:val="fr" w:eastAsia="fr-CI"/>
          <w14:ligatures w14:val="none"/>
        </w:rPr>
      </w:pPr>
      <w:r w:rsidRPr="007C05EB">
        <w:rPr>
          <w:rFonts w:ascii="Arial" w:hAnsi="Arial" w:cs="Arial"/>
          <w:kern w:val="0"/>
          <w:sz w:val="24"/>
          <w:szCs w:val="24"/>
          <w:lang w:val="fr" w:eastAsia="fr-CI"/>
          <w14:ligatures w14:val="none"/>
        </w:rPr>
        <w:t>Institutions financières</w:t>
      </w:r>
    </w:p>
    <w:p w14:paraId="15CE1841"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1E853169"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Les partenaires du consortium peuvent être des entreprises du secteur privé, des institutions du secteur public et des institutions financières. Toutefois, </w:t>
      </w:r>
      <w:r w:rsidRPr="00D64389">
        <w:rPr>
          <w:rFonts w:ascii="Arial" w:hAnsi="Arial" w:cs="Arial"/>
          <w:b/>
          <w:bCs/>
          <w:kern w:val="0"/>
          <w:sz w:val="24"/>
          <w:szCs w:val="24"/>
          <w:lang w:val="fr" w:eastAsia="fr-CI"/>
          <w14:ligatures w14:val="none"/>
        </w:rPr>
        <w:t>les candidats principaux doivent provenir du secteur privé, qu'il s'agisse de groupes d'agriculteurs, de transformateurs ou d'acheteurs.</w:t>
      </w:r>
      <w:r w:rsidRPr="009163C4">
        <w:rPr>
          <w:rFonts w:ascii="Arial" w:hAnsi="Arial" w:cs="Arial"/>
          <w:kern w:val="0"/>
          <w:sz w:val="24"/>
          <w:szCs w:val="24"/>
          <w:lang w:val="fr" w:eastAsia="fr-CI"/>
          <w14:ligatures w14:val="none"/>
        </w:rPr>
        <w:t xml:space="preserve"> En ce qui concerne les exigences d’un consortium, tous les partenaires doivent être légalement reconnus et habilités à conclure des accords contraignants. Pour l’étape initiale de la demande, une lettre d’intention (voir annexe 2) de tous les partenaires du consortium et la note conceptuelle/proposition succincte (voir annexe 1) suffisent. Un protocole d’entente signé qui clarifie les rôles, les responsabilités et les contributions de chaque partenaire doit éventuellement être fourni avant que le contrat du Fonds de contrepartie puisse être finalisé. Lorsqu’il existe des liens commerciaux préexistants entre les partenaires du consortium avant l’appel à propositions du Fonds de contrepartie, cela devrait être indiqué dans la proposition, car cela peut être avantageux pour la demande.</w:t>
      </w:r>
    </w:p>
    <w:p w14:paraId="76C53AAB" w14:textId="77777777" w:rsidR="000A6C14" w:rsidRPr="009163C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0768B4CD"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Tous les partenaires du consortium du Fonds de contrepartie doivent apporter une contribution spécifique au projet, qui peut être fournie en espèces ou en nature, ou une combinaison des deux.  On s’attend à ce que le candidat principal apporte la contribution la plus importante. Les candidats peuvent également souhaiter faire appel à des prestataires de services externes dans le cadre du projet proposé, par exemple pour la formation et l’encadrement. Cependant, il est important de noter que ces fournisseurs de services ne sont pas des partenaires du consortium et ne sont pas censés apporter une contribution spécifique au projet.</w:t>
      </w:r>
    </w:p>
    <w:p w14:paraId="56ECC78E"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4B07D6F"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Les pays éligibles à la subvention du Fonds de contrepartie pour le cajou </w:t>
      </w:r>
      <w:proofErr w:type="gramStart"/>
      <w:r w:rsidRPr="009163C4">
        <w:rPr>
          <w:rFonts w:ascii="Arial" w:hAnsi="Arial" w:cs="Arial"/>
          <w:kern w:val="0"/>
          <w:sz w:val="24"/>
          <w:szCs w:val="24"/>
          <w:lang w:val="fr" w:eastAsia="fr-CI"/>
          <w14:ligatures w14:val="none"/>
        </w:rPr>
        <w:t>comprennent:</w:t>
      </w:r>
      <w:proofErr w:type="gramEnd"/>
    </w:p>
    <w:p w14:paraId="11C8E5EA"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63290CA2" w14:textId="77777777" w:rsidR="000A6C14" w:rsidRPr="000C7125" w:rsidRDefault="000A6C14" w:rsidP="002503E7">
      <w:pPr>
        <w:pStyle w:val="ListParagraph"/>
        <w:widowControl w:val="0"/>
        <w:numPr>
          <w:ilvl w:val="0"/>
          <w:numId w:val="14"/>
        </w:numPr>
        <w:tabs>
          <w:tab w:val="left" w:pos="1111"/>
          <w:tab w:val="left" w:pos="1112"/>
        </w:tabs>
        <w:autoSpaceDE w:val="0"/>
        <w:autoSpaceDN w:val="0"/>
        <w:spacing w:before="121" w:after="0" w:line="276" w:lineRule="auto"/>
        <w:jc w:val="both"/>
        <w:rPr>
          <w:sz w:val="24"/>
          <w:szCs w:val="24"/>
          <w:lang w:val="fr-FR" w:eastAsia="fr-CI"/>
        </w:rPr>
      </w:pPr>
      <w:r w:rsidRPr="000C7125">
        <w:rPr>
          <w:sz w:val="24"/>
          <w:szCs w:val="24"/>
          <w:lang w:val="fr-FR" w:eastAsia="fr-CI"/>
        </w:rPr>
        <w:t xml:space="preserve">Tous les acteurs du secteur privé travaillant dans le domaine du cajou, tel que décrit ci-dessus, des </w:t>
      </w:r>
      <w:r w:rsidRPr="000C7125">
        <w:rPr>
          <w:b/>
          <w:color w:val="000000" w:themeColor="text1"/>
          <w:sz w:val="24"/>
          <w:szCs w:val="24"/>
          <w:lang w:val="fr-FR" w:eastAsia="fr-CI"/>
        </w:rPr>
        <w:t xml:space="preserve">79 </w:t>
      </w:r>
      <w:r>
        <w:rPr>
          <w:b/>
          <w:color w:val="000000" w:themeColor="text1"/>
          <w:sz w:val="24"/>
          <w:szCs w:val="24"/>
          <w:lang w:val="fr-FR" w:eastAsia="fr-CI"/>
        </w:rPr>
        <w:t xml:space="preserve">Etats </w:t>
      </w:r>
      <w:r w:rsidRPr="000C7125">
        <w:rPr>
          <w:b/>
          <w:color w:val="000000" w:themeColor="text1"/>
          <w:sz w:val="24"/>
          <w:szCs w:val="24"/>
          <w:lang w:val="fr-FR" w:eastAsia="fr-CI"/>
        </w:rPr>
        <w:t>ACP (Afrique, Caraïbes et Pacifique)</w:t>
      </w:r>
      <w:r w:rsidRPr="000C7125">
        <w:rPr>
          <w:color w:val="000000" w:themeColor="text1"/>
          <w:sz w:val="24"/>
          <w:szCs w:val="24"/>
          <w:lang w:val="fr-FR" w:eastAsia="fr-CI"/>
        </w:rPr>
        <w:t xml:space="preserve"> </w:t>
      </w:r>
      <w:r w:rsidRPr="000C7125">
        <w:rPr>
          <w:sz w:val="24"/>
          <w:szCs w:val="24"/>
          <w:lang w:val="fr-FR" w:eastAsia="fr-CI"/>
        </w:rPr>
        <w:t>sont éligibles. </w:t>
      </w:r>
    </w:p>
    <w:p w14:paraId="38D69FC2" w14:textId="77777777" w:rsidR="000A6C14" w:rsidRPr="009163C4" w:rsidRDefault="000A6C14" w:rsidP="000A6C14">
      <w:pPr>
        <w:shd w:val="clear" w:color="auto" w:fill="D9E2F3"/>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shd w:val="clear" w:color="auto" w:fill="D9E2F3"/>
          <w:lang w:val="fr" w:eastAsia="fr-CI"/>
          <w14:ligatures w14:val="none"/>
        </w:rPr>
        <w:t>Partenaire du consortium vs fournisseur de services</w:t>
      </w:r>
    </w:p>
    <w:p w14:paraId="1CBBA773" w14:textId="77777777" w:rsidR="000A6C14" w:rsidRPr="009163C4" w:rsidRDefault="000A6C14" w:rsidP="000A6C14">
      <w:pPr>
        <w:shd w:val="clear" w:color="auto" w:fill="D9E2F3"/>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i/>
          <w:iCs/>
          <w:kern w:val="0"/>
          <w:sz w:val="24"/>
          <w:szCs w:val="24"/>
          <w:u w:val="single"/>
          <w:shd w:val="clear" w:color="auto" w:fill="D9E2F3"/>
          <w:lang w:val="fr" w:eastAsia="fr-CI"/>
          <w14:ligatures w14:val="none"/>
        </w:rPr>
        <w:t xml:space="preserve">Qu’est-ce qu’un partenaire de </w:t>
      </w:r>
      <w:proofErr w:type="gramStart"/>
      <w:r w:rsidRPr="009163C4">
        <w:rPr>
          <w:rFonts w:ascii="Arial" w:hAnsi="Arial" w:cs="Arial"/>
          <w:i/>
          <w:iCs/>
          <w:kern w:val="0"/>
          <w:sz w:val="24"/>
          <w:szCs w:val="24"/>
          <w:u w:val="single"/>
          <w:shd w:val="clear" w:color="auto" w:fill="D9E2F3"/>
          <w:lang w:val="fr" w:eastAsia="fr-CI"/>
          <w14:ligatures w14:val="none"/>
        </w:rPr>
        <w:t>consortium?</w:t>
      </w:r>
      <w:proofErr w:type="gramEnd"/>
    </w:p>
    <w:p w14:paraId="6613B5AD" w14:textId="77777777" w:rsidR="000A6C14" w:rsidRDefault="000A6C14" w:rsidP="000A6C14">
      <w:pPr>
        <w:shd w:val="clear" w:color="auto" w:fill="D9E2F3"/>
        <w:spacing w:after="0" w:line="240" w:lineRule="auto"/>
        <w:jc w:val="both"/>
        <w:textAlignment w:val="baseline"/>
        <w:rPr>
          <w:rFonts w:ascii="Arial" w:hAnsi="Arial" w:cs="Arial"/>
          <w:kern w:val="0"/>
          <w:sz w:val="24"/>
          <w:szCs w:val="24"/>
          <w:shd w:val="clear" w:color="auto" w:fill="D9E2F3"/>
          <w:lang w:val="fr" w:eastAsia="fr-CI"/>
          <w14:ligatures w14:val="none"/>
        </w:rPr>
      </w:pPr>
      <w:r w:rsidRPr="009163C4">
        <w:rPr>
          <w:rFonts w:ascii="Arial" w:hAnsi="Arial" w:cs="Arial"/>
          <w:kern w:val="0"/>
          <w:sz w:val="24"/>
          <w:szCs w:val="24"/>
          <w:shd w:val="clear" w:color="auto" w:fill="D9E2F3"/>
          <w:lang w:val="fr" w:eastAsia="fr-CI"/>
          <w14:ligatures w14:val="none"/>
        </w:rPr>
        <w:t>Les partenaires du consortium sont des partenaires contractuels dans un projet du Fonds de subvention de contrepartie qui apportent une contribution spécifique au projet, que ce soit en espèces ou en nature.</w:t>
      </w:r>
    </w:p>
    <w:p w14:paraId="1D2D91F4" w14:textId="77777777" w:rsidR="000A6C14" w:rsidRPr="009163C4" w:rsidRDefault="000A6C14" w:rsidP="000A6C14">
      <w:pPr>
        <w:shd w:val="clear" w:color="auto" w:fill="D9E2F3"/>
        <w:spacing w:after="0" w:line="240" w:lineRule="auto"/>
        <w:jc w:val="both"/>
        <w:textAlignment w:val="baseline"/>
        <w:rPr>
          <w:rFonts w:ascii="Arial" w:eastAsia="Times New Roman" w:hAnsi="Arial" w:cs="Arial"/>
          <w:kern w:val="0"/>
          <w:sz w:val="24"/>
          <w:szCs w:val="24"/>
          <w:lang w:eastAsia="fr-CI"/>
          <w14:ligatures w14:val="none"/>
        </w:rPr>
      </w:pPr>
    </w:p>
    <w:p w14:paraId="78450AE3" w14:textId="77777777" w:rsidR="000A6C14" w:rsidRDefault="000A6C14" w:rsidP="000A6C14">
      <w:pPr>
        <w:shd w:val="clear" w:color="auto" w:fill="D9E2F3"/>
        <w:spacing w:after="0" w:line="240" w:lineRule="auto"/>
        <w:jc w:val="both"/>
        <w:textAlignment w:val="baseline"/>
        <w:rPr>
          <w:rFonts w:ascii="Arial" w:hAnsi="Arial" w:cs="Arial"/>
          <w:kern w:val="0"/>
          <w:sz w:val="24"/>
          <w:szCs w:val="24"/>
          <w:shd w:val="clear" w:color="auto" w:fill="D9E2F3"/>
          <w:lang w:val="fr" w:eastAsia="fr-CI"/>
          <w14:ligatures w14:val="none"/>
        </w:rPr>
      </w:pPr>
      <w:r w:rsidRPr="009163C4">
        <w:rPr>
          <w:rFonts w:ascii="Arial" w:hAnsi="Arial" w:cs="Arial"/>
          <w:kern w:val="0"/>
          <w:sz w:val="24"/>
          <w:szCs w:val="24"/>
          <w:shd w:val="clear" w:color="auto" w:fill="D9E2F3"/>
          <w:lang w:val="fr" w:eastAsia="fr-CI"/>
          <w14:ligatures w14:val="none"/>
        </w:rPr>
        <w:t>Exemple : transformateurs de cajou en tant que partenaire du consortium</w:t>
      </w:r>
    </w:p>
    <w:p w14:paraId="0BBFB116" w14:textId="77777777" w:rsidR="000A6C14" w:rsidRPr="009163C4" w:rsidRDefault="000A6C14" w:rsidP="000A6C14">
      <w:pPr>
        <w:shd w:val="clear" w:color="auto" w:fill="D9E2F3"/>
        <w:spacing w:after="0" w:line="240" w:lineRule="auto"/>
        <w:jc w:val="both"/>
        <w:textAlignment w:val="baseline"/>
        <w:rPr>
          <w:rFonts w:ascii="Arial" w:eastAsia="Times New Roman" w:hAnsi="Arial" w:cs="Arial"/>
          <w:kern w:val="0"/>
          <w:sz w:val="24"/>
          <w:szCs w:val="24"/>
          <w:lang w:eastAsia="fr-CI"/>
          <w14:ligatures w14:val="none"/>
        </w:rPr>
      </w:pPr>
    </w:p>
    <w:p w14:paraId="53F94DF7" w14:textId="77777777" w:rsidR="000A6C14" w:rsidRDefault="000A6C14" w:rsidP="000A6C14">
      <w:pPr>
        <w:shd w:val="clear" w:color="auto" w:fill="D9E2F3"/>
        <w:spacing w:after="0" w:line="240" w:lineRule="auto"/>
        <w:jc w:val="both"/>
        <w:textAlignment w:val="baseline"/>
        <w:rPr>
          <w:rFonts w:ascii="Arial" w:hAnsi="Arial" w:cs="Arial"/>
          <w:i/>
          <w:iCs/>
          <w:kern w:val="0"/>
          <w:sz w:val="24"/>
          <w:szCs w:val="24"/>
          <w:u w:val="single"/>
          <w:shd w:val="clear" w:color="auto" w:fill="D9E2F3"/>
          <w:lang w:val="fr" w:eastAsia="fr-CI"/>
          <w14:ligatures w14:val="none"/>
        </w:rPr>
      </w:pPr>
      <w:r w:rsidRPr="009163C4">
        <w:rPr>
          <w:rFonts w:ascii="Arial" w:hAnsi="Arial" w:cs="Arial"/>
          <w:i/>
          <w:iCs/>
          <w:kern w:val="0"/>
          <w:sz w:val="24"/>
          <w:szCs w:val="24"/>
          <w:u w:val="single"/>
          <w:shd w:val="clear" w:color="auto" w:fill="D9E2F3"/>
          <w:lang w:val="fr" w:eastAsia="fr-CI"/>
          <w14:ligatures w14:val="none"/>
        </w:rPr>
        <w:t xml:space="preserve">Qu’est-ce qu’un fournisseur de </w:t>
      </w:r>
      <w:proofErr w:type="gramStart"/>
      <w:r w:rsidRPr="009163C4">
        <w:rPr>
          <w:rFonts w:ascii="Arial" w:hAnsi="Arial" w:cs="Arial"/>
          <w:i/>
          <w:iCs/>
          <w:kern w:val="0"/>
          <w:sz w:val="24"/>
          <w:szCs w:val="24"/>
          <w:u w:val="single"/>
          <w:shd w:val="clear" w:color="auto" w:fill="D9E2F3"/>
          <w:lang w:val="fr" w:eastAsia="fr-CI"/>
          <w14:ligatures w14:val="none"/>
        </w:rPr>
        <w:t>services?</w:t>
      </w:r>
      <w:proofErr w:type="gramEnd"/>
    </w:p>
    <w:p w14:paraId="1E30E6AE" w14:textId="77777777" w:rsidR="000A6C14" w:rsidRPr="009163C4" w:rsidRDefault="000A6C14" w:rsidP="000A6C14">
      <w:pPr>
        <w:shd w:val="clear" w:color="auto" w:fill="D9E2F3"/>
        <w:spacing w:after="0" w:line="240" w:lineRule="auto"/>
        <w:jc w:val="both"/>
        <w:textAlignment w:val="baseline"/>
        <w:rPr>
          <w:rFonts w:ascii="Arial" w:eastAsia="Times New Roman" w:hAnsi="Arial" w:cs="Arial"/>
          <w:kern w:val="0"/>
          <w:sz w:val="24"/>
          <w:szCs w:val="24"/>
          <w:lang w:eastAsia="fr-CI"/>
          <w14:ligatures w14:val="none"/>
        </w:rPr>
      </w:pPr>
    </w:p>
    <w:p w14:paraId="550E74E8" w14:textId="77777777" w:rsidR="000A6C14" w:rsidRPr="009163C4" w:rsidRDefault="000A6C14" w:rsidP="000A6C14">
      <w:pPr>
        <w:shd w:val="clear" w:color="auto" w:fill="D9E2F3"/>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shd w:val="clear" w:color="auto" w:fill="D9E2F3"/>
          <w:lang w:val="fr" w:eastAsia="fr-CI"/>
          <w14:ligatures w14:val="none"/>
        </w:rPr>
        <w:t>Un fournisseur de services fournit un service contre paiement. Ils ne font pas partie du consortium officiel et ne sont pas censés contribuer en espèces ou en nature au projet.</w:t>
      </w:r>
    </w:p>
    <w:p w14:paraId="26A7BE00" w14:textId="77777777" w:rsidR="000A6C14" w:rsidRPr="009163C4" w:rsidRDefault="000A6C14" w:rsidP="000A6C14">
      <w:pPr>
        <w:shd w:val="clear" w:color="auto" w:fill="D9E2F3"/>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shd w:val="clear" w:color="auto" w:fill="D9E2F3"/>
          <w:lang w:val="fr" w:eastAsia="fr-CI"/>
          <w14:ligatures w14:val="none"/>
        </w:rPr>
        <w:t>Exemple : cabinet de conseil ou organisme national de formation en tant que prestataire de services</w:t>
      </w:r>
    </w:p>
    <w:p w14:paraId="0C30D80D" w14:textId="77777777" w:rsidR="000A6C1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eastAsia="Times New Roman" w:hAnsi="Arial" w:cs="Arial"/>
          <w:b/>
          <w:bCs/>
          <w:color w:val="2F5496"/>
          <w:kern w:val="0"/>
          <w:sz w:val="24"/>
          <w:szCs w:val="24"/>
          <w:lang w:eastAsia="fr-CI"/>
          <w14:ligatures w14:val="none"/>
        </w:rPr>
        <w:t> </w:t>
      </w:r>
    </w:p>
    <w:p w14:paraId="48DD1A3A" w14:textId="77777777" w:rsidR="000A6C1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p>
    <w:p w14:paraId="6544030D"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p>
    <w:p w14:paraId="7D35FDB5" w14:textId="77777777" w:rsidR="000A6C14" w:rsidRPr="0000461C" w:rsidRDefault="000A6C14" w:rsidP="000A6C14">
      <w:pPr>
        <w:rPr>
          <w:rFonts w:ascii="Arial" w:hAnsi="Arial" w:cs="Arial"/>
          <w:b/>
          <w:bCs/>
          <w:lang w:val="fr-FR"/>
        </w:rPr>
      </w:pPr>
      <w:proofErr w:type="gramStart"/>
      <w:r w:rsidRPr="0000461C">
        <w:rPr>
          <w:rFonts w:ascii="Arial" w:hAnsi="Arial" w:cs="Arial"/>
          <w:b/>
          <w:bCs/>
          <w:lang w:val="fr-FR"/>
        </w:rPr>
        <w:t>Note:</w:t>
      </w:r>
      <w:proofErr w:type="gramEnd"/>
      <w:r w:rsidRPr="0000461C">
        <w:rPr>
          <w:rFonts w:ascii="Arial" w:hAnsi="Arial" w:cs="Arial"/>
          <w:b/>
          <w:bCs/>
          <w:lang w:val="fr-FR"/>
        </w:rPr>
        <w:t xml:space="preserve"> Les consortiums dirigés par des femmes et des jeunes sont encouragés à se porter candidats.</w:t>
      </w:r>
    </w:p>
    <w:p w14:paraId="1B530FDA" w14:textId="77777777" w:rsidR="000A6C14" w:rsidRPr="0000461C" w:rsidRDefault="000A6C14" w:rsidP="000A6C14">
      <w:pPr>
        <w:spacing w:after="0" w:line="240" w:lineRule="auto"/>
        <w:textAlignment w:val="baseline"/>
        <w:rPr>
          <w:rFonts w:ascii="Arial" w:hAnsi="Arial" w:cs="Arial"/>
          <w:b/>
          <w:bCs/>
          <w:color w:val="2F5496"/>
          <w:kern w:val="0"/>
          <w:sz w:val="24"/>
          <w:szCs w:val="24"/>
          <w:lang w:val="fr-FR" w:eastAsia="fr-CI"/>
          <w14:ligatures w14:val="none"/>
        </w:rPr>
      </w:pPr>
    </w:p>
    <w:p w14:paraId="5C93E4DA"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Durée et taille du projet</w:t>
      </w:r>
    </w:p>
    <w:p w14:paraId="30BF640D"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396E0CEE"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Chaque projet du Fonds de subvention de contrepartie durera environ deux ans et doit prendre fin d’ici décembre 2025. Une décision finale sur la durée du projet sera prise entre MOVE</w:t>
      </w:r>
      <w:r>
        <w:rPr>
          <w:rFonts w:ascii="Arial" w:hAnsi="Arial" w:cs="Arial"/>
          <w:kern w:val="0"/>
          <w:sz w:val="24"/>
          <w:szCs w:val="24"/>
          <w:lang w:val="fr" w:eastAsia="fr-CI"/>
          <w14:ligatures w14:val="none"/>
        </w:rPr>
        <w:t xml:space="preserve">- </w:t>
      </w:r>
      <w:r w:rsidRPr="009163C4">
        <w:rPr>
          <w:rFonts w:ascii="Arial" w:hAnsi="Arial" w:cs="Arial"/>
          <w:kern w:val="0"/>
          <w:sz w:val="24"/>
          <w:szCs w:val="24"/>
          <w:lang w:val="fr" w:eastAsia="fr-CI"/>
          <w14:ligatures w14:val="none"/>
        </w:rPr>
        <w:t>ComCashew et les partenaires du Fonds de subvention de contrepartie au cours de la phase d’examen de la proposition.</w:t>
      </w:r>
    </w:p>
    <w:p w14:paraId="4DF2E7DE"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7AB60E94" w14:textId="77777777" w:rsidR="000A6C14" w:rsidRPr="008C2C88" w:rsidRDefault="000A6C14" w:rsidP="000A6C14">
      <w:pPr>
        <w:spacing w:after="0" w:line="240" w:lineRule="auto"/>
        <w:textAlignment w:val="baseline"/>
        <w:rPr>
          <w:rFonts w:ascii="Arial" w:hAnsi="Arial" w:cs="Arial"/>
          <w:color w:val="000000" w:themeColor="text1"/>
          <w:kern w:val="0"/>
          <w:sz w:val="24"/>
          <w:szCs w:val="24"/>
          <w:lang w:val="fr-FR" w:eastAsia="fr-CI"/>
          <w14:ligatures w14:val="none"/>
        </w:rPr>
      </w:pPr>
      <w:r w:rsidRPr="008C2C88">
        <w:rPr>
          <w:rFonts w:ascii="Arial" w:hAnsi="Arial" w:cs="Arial"/>
          <w:color w:val="000000" w:themeColor="text1"/>
          <w:kern w:val="0"/>
          <w:sz w:val="24"/>
          <w:szCs w:val="24"/>
          <w:lang w:val="fr-FR" w:eastAsia="fr-CI"/>
          <w14:ligatures w14:val="none"/>
        </w:rPr>
        <w:t xml:space="preserve">La contribution financière de MOVE ComCashew pour chaque projet du Fonds de </w:t>
      </w:r>
      <w:proofErr w:type="gramStart"/>
      <w:r w:rsidRPr="008C2C88">
        <w:rPr>
          <w:rFonts w:ascii="Arial" w:hAnsi="Arial" w:cs="Arial"/>
          <w:color w:val="000000" w:themeColor="text1"/>
          <w:kern w:val="0"/>
          <w:sz w:val="24"/>
          <w:szCs w:val="24"/>
          <w:lang w:val="fr-FR" w:eastAsia="fr-CI"/>
          <w14:ligatures w14:val="none"/>
        </w:rPr>
        <w:t>contrepartie  sera</w:t>
      </w:r>
      <w:proofErr w:type="gramEnd"/>
      <w:r w:rsidRPr="008C2C88">
        <w:rPr>
          <w:rFonts w:ascii="Arial" w:hAnsi="Arial" w:cs="Arial"/>
          <w:color w:val="000000" w:themeColor="text1"/>
          <w:kern w:val="0"/>
          <w:sz w:val="24"/>
          <w:szCs w:val="24"/>
          <w:lang w:val="fr-FR" w:eastAsia="fr-CI"/>
          <w14:ligatures w14:val="none"/>
        </w:rPr>
        <w:t xml:space="preserve"> de 125 000 euros maximum pour toute la durée du projet si un seul projet est proposé avec des bénéficiaires dans un seul pays. Pour les alliances stratégiques (lorsque les bénéficiaires se trouvent dans plusieurs pays ou que plusieurs consortiums présentent une demande conjointe), la contribution de la GIZ peut être augmentée en conséquence</w:t>
      </w:r>
      <w:r w:rsidRPr="008C2C88">
        <w:rPr>
          <w:rFonts w:ascii="Arial" w:hAnsi="Arial" w:cs="Arial"/>
          <w:b/>
          <w:bCs/>
          <w:color w:val="000000" w:themeColor="text1"/>
          <w:kern w:val="0"/>
          <w:sz w:val="24"/>
          <w:szCs w:val="24"/>
          <w:lang w:val="fr-FR" w:eastAsia="fr-CI"/>
          <w14:ligatures w14:val="none"/>
        </w:rPr>
        <w:t>. Pour les alliances stratégiques</w:t>
      </w:r>
      <w:r w:rsidRPr="008C2C88">
        <w:rPr>
          <w:rFonts w:ascii="Arial" w:hAnsi="Arial" w:cs="Arial"/>
          <w:color w:val="000000" w:themeColor="text1"/>
          <w:kern w:val="0"/>
          <w:sz w:val="24"/>
          <w:szCs w:val="24"/>
          <w:lang w:val="fr-FR" w:eastAsia="fr-CI"/>
          <w14:ligatures w14:val="none"/>
        </w:rPr>
        <w:t>, veuillez noter qu'un seul candidat principal doit être impliqué. Pour tous les projets de subventions de contrepartie, la contribution de la GIZ s'élèvera au maximum à 40 % du budget total. À titre d'illustration, le tableau ci-dessous présente quelques tailles de projets et les contributions financières attendues de MOVE-ComCashew et du/des partenaire(s).</w:t>
      </w:r>
    </w:p>
    <w:p w14:paraId="355A494A" w14:textId="77777777" w:rsidR="000A6C14" w:rsidRPr="008C2C88" w:rsidRDefault="000A6C14" w:rsidP="000A6C14">
      <w:pPr>
        <w:spacing w:after="0" w:line="240" w:lineRule="auto"/>
        <w:textAlignment w:val="baseline"/>
        <w:rPr>
          <w:rFonts w:ascii="Arial" w:hAnsi="Arial" w:cs="Arial"/>
          <w:b/>
          <w:bCs/>
          <w:color w:val="2F5496"/>
          <w:kern w:val="0"/>
          <w:sz w:val="24"/>
          <w:szCs w:val="24"/>
          <w:lang w:val="fr-FR" w:eastAsia="fr-CI"/>
          <w14:ligatures w14:val="none"/>
        </w:rPr>
      </w:pPr>
    </w:p>
    <w:p w14:paraId="63BA69BB" w14:textId="77777777" w:rsidR="000A6C14" w:rsidRPr="00B73357" w:rsidRDefault="000A6C14" w:rsidP="000A6C14">
      <w:pPr>
        <w:spacing w:after="0" w:line="240" w:lineRule="auto"/>
        <w:jc w:val="both"/>
        <w:textAlignment w:val="baseline"/>
        <w:rPr>
          <w:rFonts w:ascii="Arial" w:hAnsi="Arial" w:cs="Arial"/>
          <w:kern w:val="0"/>
          <w:sz w:val="24"/>
          <w:szCs w:val="24"/>
          <w:lang w:val="fr-FR" w:eastAsia="fr-CI"/>
          <w14:ligatures w14:val="none"/>
        </w:rPr>
      </w:pPr>
    </w:p>
    <w:p w14:paraId="01772093"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5229619F"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1892EFC6" w14:textId="77777777" w:rsidR="000A6C14" w:rsidRPr="009163C4" w:rsidRDefault="000A6C14" w:rsidP="000A6C14">
      <w:pPr>
        <w:spacing w:after="0" w:line="240" w:lineRule="auto"/>
        <w:jc w:val="both"/>
        <w:textAlignment w:val="baseline"/>
        <w:rPr>
          <w:rFonts w:ascii="Arial" w:eastAsia="Times New Roman" w:hAnsi="Arial" w:cs="Arial"/>
          <w:b/>
          <w:bCs/>
          <w:kern w:val="0"/>
          <w:sz w:val="24"/>
          <w:szCs w:val="24"/>
          <w:lang w:eastAsia="fr-CI"/>
          <w14:ligatures w14:val="none"/>
        </w:rPr>
      </w:pPr>
      <w:r w:rsidRPr="009163C4">
        <w:rPr>
          <w:rFonts w:ascii="Arial" w:hAnsi="Arial" w:cs="Arial"/>
          <w:b/>
          <w:bCs/>
          <w:kern w:val="0"/>
          <w:sz w:val="24"/>
          <w:szCs w:val="24"/>
          <w:lang w:val="fr" w:eastAsia="fr-CI"/>
          <w14:ligatures w14:val="none"/>
        </w:rPr>
        <w:t>Tableau 2 : Taille hypothétique des projets et répartition des contributions</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4"/>
        <w:gridCol w:w="2360"/>
        <w:gridCol w:w="3006"/>
        <w:gridCol w:w="1976"/>
      </w:tblGrid>
      <w:tr w:rsidR="000A6C14" w:rsidRPr="009163C4" w14:paraId="0A04FDA7" w14:textId="77777777" w:rsidTr="00CF3208">
        <w:trPr>
          <w:trHeight w:val="300"/>
        </w:trPr>
        <w:tc>
          <w:tcPr>
            <w:tcW w:w="1714" w:type="dxa"/>
            <w:tcBorders>
              <w:top w:val="single" w:sz="6" w:space="0" w:color="auto"/>
              <w:left w:val="single" w:sz="6" w:space="0" w:color="auto"/>
              <w:bottom w:val="single" w:sz="6" w:space="0" w:color="auto"/>
              <w:right w:val="single" w:sz="6" w:space="0" w:color="auto"/>
            </w:tcBorders>
            <w:shd w:val="clear" w:color="auto" w:fill="auto"/>
            <w:hideMark/>
          </w:tcPr>
          <w:p w14:paraId="58054A28"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Valeur du projet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5DFAC875"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Contribution MOVE (%)</w:t>
            </w:r>
          </w:p>
        </w:tc>
        <w:tc>
          <w:tcPr>
            <w:tcW w:w="3006" w:type="dxa"/>
            <w:tcBorders>
              <w:top w:val="single" w:sz="6" w:space="0" w:color="auto"/>
              <w:left w:val="single" w:sz="6" w:space="0" w:color="auto"/>
              <w:bottom w:val="single" w:sz="6" w:space="0" w:color="auto"/>
              <w:right w:val="single" w:sz="6" w:space="0" w:color="auto"/>
            </w:tcBorders>
            <w:shd w:val="clear" w:color="auto" w:fill="auto"/>
            <w:hideMark/>
          </w:tcPr>
          <w:p w14:paraId="78E907DE"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Contribution MOVE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1EDFC7E9"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Contribution du/des partenaire(s) (€)</w:t>
            </w:r>
          </w:p>
        </w:tc>
      </w:tr>
      <w:tr w:rsidR="000A6C14" w:rsidRPr="009163C4" w14:paraId="101BB35D" w14:textId="77777777" w:rsidTr="00CF3208">
        <w:trPr>
          <w:trHeight w:val="2969"/>
        </w:trPr>
        <w:tc>
          <w:tcPr>
            <w:tcW w:w="1714" w:type="dxa"/>
            <w:tcBorders>
              <w:top w:val="single" w:sz="6" w:space="0" w:color="auto"/>
              <w:left w:val="single" w:sz="6" w:space="0" w:color="auto"/>
              <w:bottom w:val="single" w:sz="6" w:space="0" w:color="auto"/>
              <w:right w:val="single" w:sz="6" w:space="0" w:color="auto"/>
            </w:tcBorders>
            <w:shd w:val="clear" w:color="auto" w:fill="auto"/>
            <w:hideMark/>
          </w:tcPr>
          <w:p w14:paraId="7C83B87F"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449CF41" w14:textId="77777777" w:rsidR="000A6C14" w:rsidRDefault="000A6C14" w:rsidP="00CF3208">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250,000</w:t>
            </w:r>
          </w:p>
          <w:p w14:paraId="7EA0D8D6"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proofErr w:type="gramStart"/>
            <w:r w:rsidRPr="00B808AB">
              <w:rPr>
                <w:rFonts w:ascii="Arial" w:eastAsia="Times New Roman" w:hAnsi="Arial" w:cs="Arial"/>
                <w:kern w:val="0"/>
                <w:sz w:val="24"/>
                <w:szCs w:val="24"/>
                <w:lang w:eastAsia="fr-CI"/>
                <w14:ligatures w14:val="none"/>
              </w:rPr>
              <w:t>pour</w:t>
            </w:r>
            <w:proofErr w:type="gramEnd"/>
            <w:r w:rsidRPr="00B808AB">
              <w:rPr>
                <w:rFonts w:ascii="Arial" w:eastAsia="Times New Roman" w:hAnsi="Arial" w:cs="Arial"/>
                <w:kern w:val="0"/>
                <w:sz w:val="24"/>
                <w:szCs w:val="24"/>
                <w:lang w:eastAsia="fr-CI"/>
                <w14:ligatures w14:val="none"/>
              </w:rPr>
              <w:t xml:space="preserve"> un consortium</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7BAB7CFB"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7CE6911B"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40%</w:t>
            </w:r>
          </w:p>
        </w:tc>
        <w:tc>
          <w:tcPr>
            <w:tcW w:w="3006" w:type="dxa"/>
            <w:tcBorders>
              <w:top w:val="single" w:sz="6" w:space="0" w:color="auto"/>
              <w:left w:val="single" w:sz="6" w:space="0" w:color="auto"/>
              <w:bottom w:val="single" w:sz="6" w:space="0" w:color="auto"/>
              <w:right w:val="single" w:sz="6" w:space="0" w:color="auto"/>
            </w:tcBorders>
            <w:shd w:val="clear" w:color="auto" w:fill="auto"/>
            <w:hideMark/>
          </w:tcPr>
          <w:p w14:paraId="3459B69D"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70BF7DF9"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100,000</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7D50AA98"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val="en-US" w:eastAsia="fr-CI"/>
                <w14:ligatures w14:val="none"/>
              </w:rPr>
              <w:t>  </w:t>
            </w:r>
            <w:r w:rsidRPr="009163C4">
              <w:rPr>
                <w:rFonts w:ascii="Arial" w:eastAsia="Times New Roman" w:hAnsi="Arial" w:cs="Arial"/>
                <w:kern w:val="0"/>
                <w:sz w:val="24"/>
                <w:szCs w:val="24"/>
                <w:lang w:eastAsia="fr-CI"/>
                <w14:ligatures w14:val="none"/>
              </w:rPr>
              <w:t> </w:t>
            </w:r>
          </w:p>
          <w:p w14:paraId="1AAD9437"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150,000</w:t>
            </w:r>
          </w:p>
        </w:tc>
      </w:tr>
      <w:tr w:rsidR="000A6C14" w:rsidRPr="009163C4" w14:paraId="6944AB0C" w14:textId="77777777" w:rsidTr="00CF3208">
        <w:trPr>
          <w:trHeight w:val="2762"/>
        </w:trPr>
        <w:tc>
          <w:tcPr>
            <w:tcW w:w="1714" w:type="dxa"/>
            <w:tcBorders>
              <w:top w:val="single" w:sz="6" w:space="0" w:color="auto"/>
              <w:left w:val="single" w:sz="6" w:space="0" w:color="auto"/>
              <w:bottom w:val="single" w:sz="6" w:space="0" w:color="auto"/>
              <w:right w:val="single" w:sz="6" w:space="0" w:color="auto"/>
            </w:tcBorders>
            <w:shd w:val="clear" w:color="auto" w:fill="auto"/>
            <w:hideMark/>
          </w:tcPr>
          <w:p w14:paraId="11BC9ECD" w14:textId="77777777" w:rsidR="000A6C14" w:rsidRPr="00541338"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541338">
              <w:rPr>
                <w:rFonts w:ascii="Arial" w:eastAsia="Times New Roman" w:hAnsi="Arial" w:cs="Arial"/>
                <w:kern w:val="0"/>
                <w:sz w:val="24"/>
                <w:szCs w:val="24"/>
                <w:lang w:eastAsia="fr-CI"/>
                <w14:ligatures w14:val="none"/>
              </w:rPr>
              <w:t xml:space="preserve">350,000 </w:t>
            </w:r>
          </w:p>
          <w:p w14:paraId="0C24D1CD"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541338">
              <w:rPr>
                <w:rFonts w:ascii="Arial" w:eastAsia="Times New Roman" w:hAnsi="Arial" w:cs="Arial"/>
                <w:kern w:val="0"/>
                <w:sz w:val="24"/>
                <w:szCs w:val="24"/>
                <w:lang w:eastAsia="fr-CI"/>
                <w14:ligatures w14:val="none"/>
              </w:rPr>
              <w:t>Pour un consortium</w:t>
            </w:r>
          </w:p>
          <w:p w14:paraId="7B916934"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147DF7E3"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40%</w:t>
            </w:r>
          </w:p>
        </w:tc>
        <w:tc>
          <w:tcPr>
            <w:tcW w:w="3006" w:type="dxa"/>
            <w:tcBorders>
              <w:top w:val="single" w:sz="6" w:space="0" w:color="auto"/>
              <w:left w:val="single" w:sz="6" w:space="0" w:color="auto"/>
              <w:bottom w:val="single" w:sz="6" w:space="0" w:color="auto"/>
              <w:right w:val="single" w:sz="6" w:space="0" w:color="auto"/>
            </w:tcBorders>
            <w:shd w:val="clear" w:color="auto" w:fill="auto"/>
            <w:hideMark/>
          </w:tcPr>
          <w:p w14:paraId="3F9B8D04"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B25968">
              <w:rPr>
                <w:rFonts w:ascii="Arial" w:eastAsia="Times New Roman" w:hAnsi="Arial" w:cs="Arial"/>
                <w:kern w:val="0"/>
                <w:sz w:val="24"/>
                <w:szCs w:val="24"/>
                <w:lang w:eastAsia="fr-CI"/>
                <w14:ligatures w14:val="none"/>
              </w:rPr>
              <w:t>140 000 euros (ce chiffre dépasse toutefois les objectifs de 125 000 euros). MOVE</w:t>
            </w:r>
            <w:r>
              <w:rPr>
                <w:rFonts w:ascii="Arial" w:eastAsia="Times New Roman" w:hAnsi="Arial" w:cs="Arial"/>
                <w:kern w:val="0"/>
                <w:sz w:val="24"/>
                <w:szCs w:val="24"/>
                <w:lang w:eastAsia="fr-CI"/>
                <w14:ligatures w14:val="none"/>
              </w:rPr>
              <w:t>-</w:t>
            </w:r>
            <w:r w:rsidRPr="00B25968">
              <w:rPr>
                <w:rFonts w:ascii="Arial" w:eastAsia="Times New Roman" w:hAnsi="Arial" w:cs="Arial"/>
                <w:kern w:val="0"/>
                <w:sz w:val="24"/>
                <w:szCs w:val="24"/>
                <w:lang w:eastAsia="fr-CI"/>
                <w14:ligatures w14:val="none"/>
              </w:rPr>
              <w:t>ComCashew apportera une contribution de 125 000 euros si les bénéficiaires</w:t>
            </w:r>
            <w:r>
              <w:rPr>
                <w:rFonts w:ascii="Arial" w:eastAsia="Times New Roman" w:hAnsi="Arial" w:cs="Arial"/>
                <w:kern w:val="0"/>
                <w:sz w:val="24"/>
                <w:szCs w:val="24"/>
                <w:lang w:eastAsia="fr-CI"/>
                <w14:ligatures w14:val="none"/>
              </w:rPr>
              <w:t xml:space="preserve"> </w:t>
            </w:r>
            <w:r w:rsidRPr="00B25968">
              <w:rPr>
                <w:rFonts w:ascii="Arial" w:eastAsia="Times New Roman" w:hAnsi="Arial" w:cs="Arial"/>
                <w:kern w:val="0"/>
                <w:sz w:val="24"/>
                <w:szCs w:val="24"/>
                <w:lang w:eastAsia="fr-CI"/>
                <w14:ligatures w14:val="none"/>
              </w:rPr>
              <w:t>sont originaires d'un seul pays).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4D7DAC37"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Pr>
                <w:rFonts w:ascii="Arial" w:hAnsi="Arial" w:cs="Arial"/>
                <w:kern w:val="0"/>
                <w:sz w:val="24"/>
                <w:szCs w:val="24"/>
                <w:lang w:val="fr" w:eastAsia="fr-CI"/>
                <w14:ligatures w14:val="none"/>
              </w:rPr>
              <w:t>23</w:t>
            </w:r>
            <w:r w:rsidRPr="009163C4">
              <w:rPr>
                <w:rFonts w:ascii="Arial" w:hAnsi="Arial" w:cs="Arial"/>
                <w:kern w:val="0"/>
                <w:sz w:val="24"/>
                <w:szCs w:val="24"/>
                <w:lang w:val="fr" w:eastAsia="fr-CI"/>
                <w14:ligatures w14:val="none"/>
              </w:rPr>
              <w:t>0,00</w:t>
            </w:r>
            <w:r>
              <w:rPr>
                <w:rFonts w:ascii="Arial" w:hAnsi="Arial" w:cs="Arial"/>
                <w:kern w:val="0"/>
                <w:sz w:val="24"/>
                <w:szCs w:val="24"/>
                <w:lang w:val="fr" w:eastAsia="fr-CI"/>
                <w14:ligatures w14:val="none"/>
              </w:rPr>
              <w:t>0</w:t>
            </w:r>
          </w:p>
        </w:tc>
      </w:tr>
      <w:tr w:rsidR="000A6C14" w:rsidRPr="009163C4" w14:paraId="5ADAC7A2" w14:textId="77777777" w:rsidTr="00CF3208">
        <w:trPr>
          <w:trHeight w:val="1205"/>
        </w:trPr>
        <w:tc>
          <w:tcPr>
            <w:tcW w:w="1714" w:type="dxa"/>
            <w:tcBorders>
              <w:top w:val="single" w:sz="6" w:space="0" w:color="auto"/>
              <w:left w:val="single" w:sz="6" w:space="0" w:color="auto"/>
              <w:bottom w:val="single" w:sz="6" w:space="0" w:color="auto"/>
              <w:right w:val="single" w:sz="6" w:space="0" w:color="auto"/>
            </w:tcBorders>
            <w:shd w:val="clear" w:color="auto" w:fill="auto"/>
            <w:hideMark/>
          </w:tcPr>
          <w:p w14:paraId="0A62C8E0" w14:textId="77777777" w:rsidR="000A6C14" w:rsidRPr="008B077E"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8B077E">
              <w:rPr>
                <w:rFonts w:ascii="Arial" w:eastAsia="Times New Roman" w:hAnsi="Arial" w:cs="Arial"/>
                <w:kern w:val="0"/>
                <w:sz w:val="24"/>
                <w:szCs w:val="24"/>
                <w:lang w:eastAsia="fr-CI"/>
                <w14:ligatures w14:val="none"/>
              </w:rPr>
              <w:lastRenderedPageBreak/>
              <w:t xml:space="preserve">800,000 </w:t>
            </w:r>
          </w:p>
          <w:p w14:paraId="0AC0E0DE"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proofErr w:type="gramStart"/>
            <w:r w:rsidRPr="008B077E">
              <w:rPr>
                <w:rFonts w:ascii="Arial" w:eastAsia="Times New Roman" w:hAnsi="Arial" w:cs="Arial"/>
                <w:kern w:val="0"/>
                <w:sz w:val="24"/>
                <w:szCs w:val="24"/>
                <w:lang w:eastAsia="fr-CI"/>
                <w14:ligatures w14:val="none"/>
              </w:rPr>
              <w:t>pour</w:t>
            </w:r>
            <w:proofErr w:type="gramEnd"/>
            <w:r w:rsidRPr="008B077E">
              <w:rPr>
                <w:rFonts w:ascii="Arial" w:eastAsia="Times New Roman" w:hAnsi="Arial" w:cs="Arial"/>
                <w:kern w:val="0"/>
                <w:sz w:val="24"/>
                <w:szCs w:val="24"/>
                <w:lang w:eastAsia="fr-CI"/>
                <w14:ligatures w14:val="none"/>
              </w:rPr>
              <w:t xml:space="preserve"> plus d'un consortium</w:t>
            </w:r>
          </w:p>
        </w:tc>
        <w:tc>
          <w:tcPr>
            <w:tcW w:w="2360" w:type="dxa"/>
            <w:tcBorders>
              <w:top w:val="single" w:sz="6" w:space="0" w:color="auto"/>
              <w:left w:val="single" w:sz="6" w:space="0" w:color="auto"/>
              <w:bottom w:val="single" w:sz="6" w:space="0" w:color="auto"/>
              <w:right w:val="single" w:sz="6" w:space="0" w:color="auto"/>
            </w:tcBorders>
            <w:shd w:val="clear" w:color="auto" w:fill="auto"/>
            <w:hideMark/>
          </w:tcPr>
          <w:p w14:paraId="247F4D90"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40%</w:t>
            </w:r>
          </w:p>
        </w:tc>
        <w:tc>
          <w:tcPr>
            <w:tcW w:w="3006" w:type="dxa"/>
            <w:tcBorders>
              <w:top w:val="single" w:sz="6" w:space="0" w:color="auto"/>
              <w:left w:val="single" w:sz="6" w:space="0" w:color="auto"/>
              <w:bottom w:val="single" w:sz="6" w:space="0" w:color="auto"/>
              <w:right w:val="single" w:sz="6" w:space="0" w:color="auto"/>
            </w:tcBorders>
            <w:shd w:val="clear" w:color="auto" w:fill="auto"/>
            <w:hideMark/>
          </w:tcPr>
          <w:p w14:paraId="42CF4788"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Pr>
                <w:rFonts w:ascii="Arial" w:eastAsia="Times New Roman" w:hAnsi="Arial" w:cs="Arial"/>
                <w:kern w:val="0"/>
                <w:sz w:val="24"/>
                <w:szCs w:val="24"/>
                <w:lang w:eastAsia="fr-CI"/>
                <w14:ligatures w14:val="none"/>
              </w:rPr>
              <w:t>320,000</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24F80B6B" w14:textId="77777777" w:rsidR="000A6C14" w:rsidRPr="009163C4" w:rsidRDefault="000A6C14" w:rsidP="00CF3208">
            <w:pPr>
              <w:spacing w:after="0" w:line="240" w:lineRule="auto"/>
              <w:jc w:val="both"/>
              <w:textAlignment w:val="baseline"/>
              <w:rPr>
                <w:rFonts w:ascii="Arial" w:eastAsia="Times New Roman" w:hAnsi="Arial" w:cs="Arial"/>
                <w:kern w:val="0"/>
                <w:sz w:val="24"/>
                <w:szCs w:val="24"/>
                <w:lang w:eastAsia="fr-CI"/>
                <w14:ligatures w14:val="none"/>
              </w:rPr>
            </w:pPr>
            <w:r>
              <w:rPr>
                <w:rFonts w:ascii="Arial" w:hAnsi="Arial" w:cs="Arial"/>
                <w:kern w:val="0"/>
                <w:sz w:val="24"/>
                <w:szCs w:val="24"/>
                <w:lang w:val="fr" w:eastAsia="fr-CI"/>
                <w14:ligatures w14:val="none"/>
              </w:rPr>
              <w:t>480</w:t>
            </w:r>
            <w:r w:rsidRPr="009163C4">
              <w:rPr>
                <w:rFonts w:ascii="Arial" w:hAnsi="Arial" w:cs="Arial"/>
                <w:kern w:val="0"/>
                <w:sz w:val="24"/>
                <w:szCs w:val="24"/>
                <w:lang w:val="fr" w:eastAsia="fr-CI"/>
                <w14:ligatures w14:val="none"/>
              </w:rPr>
              <w:t>,000</w:t>
            </w:r>
          </w:p>
        </w:tc>
      </w:tr>
    </w:tbl>
    <w:p w14:paraId="162981CC"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16530D2"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320ECD98"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Ainsi, le(s) partenaire(s) du Fonds de subvention de contrepartie devra(ont) contribuer à hauteur d'au moins 60 % du coût du projet. Bien que chaque partenaire du consortium soit tenu d'apporter une contribution spécifique, les contributions en nature, telles que le temps de travail du personnel, seront incluses dans ce calcul.</w:t>
      </w:r>
    </w:p>
    <w:p w14:paraId="7CF209DF"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val="fr-FR" w:eastAsia="fr-CI"/>
          <w14:ligatures w14:val="none"/>
        </w:rPr>
        <w:t> </w:t>
      </w:r>
      <w:r w:rsidRPr="009163C4">
        <w:rPr>
          <w:rFonts w:ascii="Arial" w:eastAsia="Times New Roman" w:hAnsi="Arial" w:cs="Arial"/>
          <w:kern w:val="0"/>
          <w:sz w:val="24"/>
          <w:szCs w:val="24"/>
          <w:lang w:eastAsia="fr-CI"/>
          <w14:ligatures w14:val="none"/>
        </w:rPr>
        <w:t> </w:t>
      </w:r>
    </w:p>
    <w:p w14:paraId="6C719F0E"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 xml:space="preserve">Quelles activités du projet seront prises en charge par le </w:t>
      </w:r>
      <w:proofErr w:type="gramStart"/>
      <w:r w:rsidRPr="009163C4">
        <w:rPr>
          <w:rFonts w:ascii="Arial" w:hAnsi="Arial" w:cs="Arial"/>
          <w:b/>
          <w:bCs/>
          <w:color w:val="2F5496"/>
          <w:kern w:val="0"/>
          <w:sz w:val="24"/>
          <w:szCs w:val="24"/>
          <w:lang w:val="fr" w:eastAsia="fr-CI"/>
          <w14:ligatures w14:val="none"/>
        </w:rPr>
        <w:t>Fonds  de</w:t>
      </w:r>
      <w:proofErr w:type="gramEnd"/>
      <w:r w:rsidRPr="009163C4">
        <w:rPr>
          <w:rFonts w:ascii="Arial" w:hAnsi="Arial" w:cs="Arial"/>
          <w:b/>
          <w:bCs/>
          <w:color w:val="2F5496"/>
          <w:kern w:val="0"/>
          <w:sz w:val="24"/>
          <w:szCs w:val="24"/>
          <w:lang w:val="fr" w:eastAsia="fr-CI"/>
          <w14:ligatures w14:val="none"/>
        </w:rPr>
        <w:t xml:space="preserve"> contrepartie ?</w:t>
      </w:r>
    </w:p>
    <w:p w14:paraId="5DEFBD6B"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Les interventions proposées dans le cadre du projet peuvent viser à aborder les points suivants :</w:t>
      </w:r>
    </w:p>
    <w:p w14:paraId="514289E9" w14:textId="77777777" w:rsidR="000A6C14" w:rsidRPr="009163C4" w:rsidRDefault="000A6C14" w:rsidP="002503E7">
      <w:pPr>
        <w:numPr>
          <w:ilvl w:val="0"/>
          <w:numId w:val="6"/>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 xml:space="preserve">Les capacités des acteurs de la chaîne de valeur du cajou, notamment les producteurs, les transformateurs, les acheteurs et les </w:t>
      </w:r>
      <w:proofErr w:type="spellStart"/>
      <w:r w:rsidRPr="009163C4">
        <w:rPr>
          <w:rFonts w:ascii="Arial" w:hAnsi="Arial" w:cs="Arial"/>
          <w:kern w:val="0"/>
          <w:sz w:val="24"/>
          <w:szCs w:val="24"/>
          <w:lang w:val="fr" w:eastAsia="fr-CI"/>
          <w14:ligatures w14:val="none"/>
        </w:rPr>
        <w:t>MSMEs</w:t>
      </w:r>
      <w:proofErr w:type="spellEnd"/>
      <w:r w:rsidRPr="009163C4">
        <w:rPr>
          <w:rFonts w:ascii="Arial" w:hAnsi="Arial" w:cs="Arial"/>
          <w:kern w:val="0"/>
          <w:sz w:val="24"/>
          <w:szCs w:val="24"/>
          <w:lang w:val="fr" w:eastAsia="fr-CI"/>
          <w14:ligatures w14:val="none"/>
        </w:rPr>
        <w:t>, sont renforcées afin d’attirer les financements et les investissements.</w:t>
      </w:r>
    </w:p>
    <w:p w14:paraId="00B199E6" w14:textId="77777777" w:rsidR="000A6C14" w:rsidRPr="009163C4" w:rsidRDefault="000A6C14" w:rsidP="002503E7">
      <w:pPr>
        <w:numPr>
          <w:ilvl w:val="0"/>
          <w:numId w:val="6"/>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La compétitivité, la mise à niveau et la viabilité des acteurs de la chaîne de valeur du cajou en termes de valeur ajoutée, de contenu technologique et de conformité aux normes internationales sont renforcées,</w:t>
      </w:r>
    </w:p>
    <w:p w14:paraId="3869AF66" w14:textId="77777777" w:rsidR="000A6C14" w:rsidRPr="009163C4" w:rsidRDefault="000A6C14" w:rsidP="002503E7">
      <w:pPr>
        <w:numPr>
          <w:ilvl w:val="0"/>
          <w:numId w:val="6"/>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 xml:space="preserve">L’intégration des producteurs de cajou, des transformateurs, des acheteurs et des </w:t>
      </w:r>
      <w:proofErr w:type="spellStart"/>
      <w:r w:rsidRPr="009163C4">
        <w:rPr>
          <w:rFonts w:ascii="Arial" w:hAnsi="Arial" w:cs="Arial"/>
          <w:kern w:val="0"/>
          <w:sz w:val="24"/>
          <w:szCs w:val="24"/>
          <w:lang w:val="fr" w:eastAsia="fr-CI"/>
          <w14:ligatures w14:val="none"/>
        </w:rPr>
        <w:t>MSMEs</w:t>
      </w:r>
      <w:proofErr w:type="spellEnd"/>
      <w:r w:rsidRPr="009163C4">
        <w:rPr>
          <w:rFonts w:ascii="Arial" w:hAnsi="Arial" w:cs="Arial"/>
          <w:kern w:val="0"/>
          <w:sz w:val="24"/>
          <w:szCs w:val="24"/>
          <w:lang w:val="fr" w:eastAsia="fr-CI"/>
          <w14:ligatures w14:val="none"/>
        </w:rPr>
        <w:t xml:space="preserve"> dans les chaînes de valeur nationales, régionales et mondiales est renforcée,</w:t>
      </w:r>
    </w:p>
    <w:p w14:paraId="497AA14A" w14:textId="77777777" w:rsidR="000A6C14" w:rsidRPr="009163C4" w:rsidRDefault="000A6C14" w:rsidP="002503E7">
      <w:pPr>
        <w:numPr>
          <w:ilvl w:val="0"/>
          <w:numId w:val="6"/>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La compétitivité commerciale et à l’exportation de la chaîne de valeur du cajou est améliorée.</w:t>
      </w:r>
    </w:p>
    <w:p w14:paraId="008A72E5" w14:textId="77777777" w:rsidR="000A6C14" w:rsidRPr="009163C4" w:rsidRDefault="000A6C14" w:rsidP="002503E7">
      <w:pPr>
        <w:numPr>
          <w:ilvl w:val="0"/>
          <w:numId w:val="7"/>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Un environnement favorable est mis en place pour favoriser l’accès au financement des acteurs du cajou, à travers le financement de la chaîne de valeur.</w:t>
      </w:r>
    </w:p>
    <w:p w14:paraId="5A667AF4" w14:textId="77777777" w:rsidR="000A6C14" w:rsidRPr="009163C4" w:rsidRDefault="000A6C14" w:rsidP="002503E7">
      <w:pPr>
        <w:numPr>
          <w:ilvl w:val="0"/>
          <w:numId w:val="7"/>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Les chaînes de valeur du cajou sensibles à la nutrition sont promues</w:t>
      </w:r>
    </w:p>
    <w:p w14:paraId="2887D296" w14:textId="77777777" w:rsidR="000A6C14" w:rsidRPr="009163C4" w:rsidRDefault="000A6C14" w:rsidP="002503E7">
      <w:pPr>
        <w:numPr>
          <w:ilvl w:val="0"/>
          <w:numId w:val="7"/>
        </w:numPr>
        <w:spacing w:after="0" w:line="240" w:lineRule="auto"/>
        <w:ind w:left="1080" w:firstLine="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Les pratiques agricoles durables sont encouragées et la résilience à l’environnement et au changement climatique est améliorée.</w:t>
      </w:r>
    </w:p>
    <w:p w14:paraId="7DA691AA"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7A2F2A67"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Les activités de renforcement des capacités devraient inclure les sujets/domaines de formation ci-dessous</w:t>
      </w:r>
    </w:p>
    <w:p w14:paraId="7E7AB729" w14:textId="77777777" w:rsidR="000A6C14" w:rsidRPr="009163C4" w:rsidRDefault="000A6C14" w:rsidP="002503E7">
      <w:pPr>
        <w:numPr>
          <w:ilvl w:val="0"/>
          <w:numId w:val="8"/>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b/>
          <w:bCs/>
          <w:color w:val="000000"/>
          <w:kern w:val="0"/>
          <w:sz w:val="24"/>
          <w:szCs w:val="24"/>
          <w:lang w:val="fr" w:eastAsia="fr-CI"/>
          <w14:ligatures w14:val="none"/>
        </w:rPr>
        <w:t xml:space="preserve">Formation technique pour les producteurs </w:t>
      </w:r>
      <w:r w:rsidRPr="009163C4">
        <w:rPr>
          <w:rFonts w:ascii="Arial" w:hAnsi="Arial" w:cs="Arial"/>
          <w:color w:val="000000"/>
          <w:kern w:val="0"/>
          <w:sz w:val="24"/>
          <w:szCs w:val="24"/>
          <w:lang w:val="fr" w:eastAsia="fr-CI"/>
          <w14:ligatures w14:val="none"/>
        </w:rPr>
        <w:t>principaux : Les sujets comprennent les bonnes pratiques agricoles (GAP), l’adaptation au changement climatique (CC), l’agriculture conservatrice (CA), l’agroforesterie, le matériel végétal amélioré, etc.</w:t>
      </w:r>
    </w:p>
    <w:p w14:paraId="44D1A8F0" w14:textId="77777777" w:rsidR="000A6C14" w:rsidRPr="009163C4" w:rsidRDefault="000A6C14" w:rsidP="002503E7">
      <w:pPr>
        <w:numPr>
          <w:ilvl w:val="0"/>
          <w:numId w:val="8"/>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b/>
          <w:bCs/>
          <w:color w:val="000000"/>
          <w:kern w:val="0"/>
          <w:sz w:val="24"/>
          <w:szCs w:val="24"/>
          <w:lang w:val="fr" w:eastAsia="fr-CI"/>
          <w14:ligatures w14:val="none"/>
        </w:rPr>
        <w:t xml:space="preserve">Formation entrepreneuriale pour les producteurs </w:t>
      </w:r>
      <w:r w:rsidRPr="009163C4">
        <w:rPr>
          <w:rFonts w:ascii="Arial" w:hAnsi="Arial" w:cs="Arial"/>
          <w:color w:val="000000"/>
          <w:kern w:val="0"/>
          <w:sz w:val="24"/>
          <w:szCs w:val="24"/>
          <w:lang w:val="fr" w:eastAsia="fr-CI"/>
          <w14:ligatures w14:val="none"/>
        </w:rPr>
        <w:t xml:space="preserve">principaux : Les sujets peuvent inclure Farmers Business </w:t>
      </w:r>
      <w:proofErr w:type="spellStart"/>
      <w:r w:rsidRPr="009163C4">
        <w:rPr>
          <w:rFonts w:ascii="Arial" w:hAnsi="Arial" w:cs="Arial"/>
          <w:color w:val="000000"/>
          <w:kern w:val="0"/>
          <w:sz w:val="24"/>
          <w:szCs w:val="24"/>
          <w:lang w:val="fr" w:eastAsia="fr-CI"/>
          <w14:ligatures w14:val="none"/>
        </w:rPr>
        <w:t>School</w:t>
      </w:r>
      <w:proofErr w:type="spellEnd"/>
      <w:r w:rsidRPr="009163C4">
        <w:rPr>
          <w:rFonts w:ascii="Arial" w:hAnsi="Arial" w:cs="Arial"/>
          <w:color w:val="000000"/>
          <w:kern w:val="0"/>
          <w:sz w:val="24"/>
          <w:szCs w:val="24"/>
          <w:lang w:val="fr" w:eastAsia="fr-CI"/>
          <w14:ligatures w14:val="none"/>
        </w:rPr>
        <w:t xml:space="preserve"> (FBS), </w:t>
      </w:r>
      <w:proofErr w:type="spellStart"/>
      <w:r w:rsidRPr="009163C4">
        <w:rPr>
          <w:rFonts w:ascii="Arial" w:hAnsi="Arial" w:cs="Arial"/>
          <w:color w:val="000000"/>
          <w:kern w:val="0"/>
          <w:sz w:val="24"/>
          <w:szCs w:val="24"/>
          <w:lang w:val="fr" w:eastAsia="fr-CI"/>
          <w14:ligatures w14:val="none"/>
        </w:rPr>
        <w:t>Cooperative</w:t>
      </w:r>
      <w:proofErr w:type="spellEnd"/>
      <w:r w:rsidRPr="009163C4">
        <w:rPr>
          <w:rFonts w:ascii="Arial" w:hAnsi="Arial" w:cs="Arial"/>
          <w:color w:val="000000"/>
          <w:kern w:val="0"/>
          <w:sz w:val="24"/>
          <w:szCs w:val="24"/>
          <w:lang w:val="fr" w:eastAsia="fr-CI"/>
          <w14:ligatures w14:val="none"/>
        </w:rPr>
        <w:t xml:space="preserve"> Business </w:t>
      </w:r>
      <w:proofErr w:type="spellStart"/>
      <w:r w:rsidRPr="009163C4">
        <w:rPr>
          <w:rFonts w:ascii="Arial" w:hAnsi="Arial" w:cs="Arial"/>
          <w:color w:val="000000"/>
          <w:kern w:val="0"/>
          <w:sz w:val="24"/>
          <w:szCs w:val="24"/>
          <w:lang w:val="fr" w:eastAsia="fr-CI"/>
          <w14:ligatures w14:val="none"/>
        </w:rPr>
        <w:t>School</w:t>
      </w:r>
      <w:proofErr w:type="spellEnd"/>
      <w:r w:rsidRPr="009163C4">
        <w:rPr>
          <w:rFonts w:ascii="Arial" w:hAnsi="Arial" w:cs="Arial"/>
          <w:color w:val="000000"/>
          <w:kern w:val="0"/>
          <w:sz w:val="24"/>
          <w:szCs w:val="24"/>
          <w:lang w:val="fr" w:eastAsia="fr-CI"/>
          <w14:ligatures w14:val="none"/>
        </w:rPr>
        <w:t xml:space="preserve"> (CBS), </w:t>
      </w:r>
      <w:proofErr w:type="spellStart"/>
      <w:r w:rsidRPr="009163C4">
        <w:rPr>
          <w:rFonts w:ascii="Arial" w:hAnsi="Arial" w:cs="Arial"/>
          <w:color w:val="000000"/>
          <w:kern w:val="0"/>
          <w:sz w:val="24"/>
          <w:szCs w:val="24"/>
          <w:lang w:val="fr" w:eastAsia="fr-CI"/>
          <w14:ligatures w14:val="none"/>
        </w:rPr>
        <w:t>Gender</w:t>
      </w:r>
      <w:proofErr w:type="spellEnd"/>
      <w:r w:rsidRPr="009163C4">
        <w:rPr>
          <w:rFonts w:ascii="Arial" w:hAnsi="Arial" w:cs="Arial"/>
          <w:color w:val="000000"/>
          <w:kern w:val="0"/>
          <w:sz w:val="24"/>
          <w:szCs w:val="24"/>
          <w:lang w:val="fr" w:eastAsia="fr-CI"/>
          <w14:ligatures w14:val="none"/>
        </w:rPr>
        <w:t xml:space="preserve"> </w:t>
      </w:r>
      <w:proofErr w:type="spellStart"/>
      <w:r w:rsidRPr="009163C4">
        <w:rPr>
          <w:rFonts w:ascii="Arial" w:hAnsi="Arial" w:cs="Arial"/>
          <w:color w:val="000000"/>
          <w:kern w:val="0"/>
          <w:sz w:val="24"/>
          <w:szCs w:val="24"/>
          <w:lang w:val="fr" w:eastAsia="fr-CI"/>
          <w14:ligatures w14:val="none"/>
        </w:rPr>
        <w:t>Make</w:t>
      </w:r>
      <w:proofErr w:type="spellEnd"/>
      <w:r w:rsidRPr="009163C4">
        <w:rPr>
          <w:rFonts w:ascii="Arial" w:hAnsi="Arial" w:cs="Arial"/>
          <w:color w:val="000000"/>
          <w:kern w:val="0"/>
          <w:sz w:val="24"/>
          <w:szCs w:val="24"/>
          <w:lang w:val="fr" w:eastAsia="fr-CI"/>
          <w14:ligatures w14:val="none"/>
        </w:rPr>
        <w:t xml:space="preserve"> Business </w:t>
      </w:r>
      <w:proofErr w:type="spellStart"/>
      <w:r w:rsidRPr="009163C4">
        <w:rPr>
          <w:rFonts w:ascii="Arial" w:hAnsi="Arial" w:cs="Arial"/>
          <w:color w:val="000000"/>
          <w:kern w:val="0"/>
          <w:sz w:val="24"/>
          <w:szCs w:val="24"/>
          <w:lang w:val="fr" w:eastAsia="fr-CI"/>
          <w14:ligatures w14:val="none"/>
        </w:rPr>
        <w:t>Sense</w:t>
      </w:r>
      <w:proofErr w:type="spellEnd"/>
      <w:r w:rsidRPr="009163C4">
        <w:rPr>
          <w:rFonts w:ascii="Arial" w:hAnsi="Arial" w:cs="Arial"/>
          <w:color w:val="000000"/>
          <w:kern w:val="0"/>
          <w:sz w:val="24"/>
          <w:szCs w:val="24"/>
          <w:lang w:val="fr" w:eastAsia="fr-CI"/>
          <w14:ligatures w14:val="none"/>
        </w:rPr>
        <w:t xml:space="preserve"> (</w:t>
      </w:r>
      <w:proofErr w:type="spellStart"/>
      <w:r w:rsidRPr="009163C4">
        <w:rPr>
          <w:rFonts w:ascii="Arial" w:hAnsi="Arial" w:cs="Arial"/>
          <w:color w:val="000000"/>
          <w:kern w:val="0"/>
          <w:sz w:val="24"/>
          <w:szCs w:val="24"/>
          <w:lang w:val="fr" w:eastAsia="fr-CI"/>
          <w14:ligatures w14:val="none"/>
        </w:rPr>
        <w:t>GmBS</w:t>
      </w:r>
      <w:proofErr w:type="spellEnd"/>
      <w:r w:rsidRPr="009163C4">
        <w:rPr>
          <w:rFonts w:ascii="Arial" w:hAnsi="Arial" w:cs="Arial"/>
          <w:color w:val="000000"/>
          <w:kern w:val="0"/>
          <w:sz w:val="24"/>
          <w:szCs w:val="24"/>
          <w:lang w:val="fr" w:eastAsia="fr-CI"/>
          <w14:ligatures w14:val="none"/>
        </w:rPr>
        <w:t xml:space="preserve">), Mitigation to </w:t>
      </w:r>
      <w:proofErr w:type="spellStart"/>
      <w:r w:rsidRPr="009163C4">
        <w:rPr>
          <w:rFonts w:ascii="Arial" w:hAnsi="Arial" w:cs="Arial"/>
          <w:color w:val="000000"/>
          <w:kern w:val="0"/>
          <w:sz w:val="24"/>
          <w:szCs w:val="24"/>
          <w:lang w:val="fr" w:eastAsia="fr-CI"/>
          <w14:ligatures w14:val="none"/>
        </w:rPr>
        <w:t>Climate</w:t>
      </w:r>
      <w:proofErr w:type="spellEnd"/>
      <w:r w:rsidRPr="009163C4">
        <w:rPr>
          <w:rFonts w:ascii="Arial" w:hAnsi="Arial" w:cs="Arial"/>
          <w:color w:val="000000"/>
          <w:kern w:val="0"/>
          <w:sz w:val="24"/>
          <w:szCs w:val="24"/>
          <w:lang w:val="fr" w:eastAsia="fr-CI"/>
          <w14:ligatures w14:val="none"/>
        </w:rPr>
        <w:t xml:space="preserve"> Change et d’autres sujets entrepreneuriaux.</w:t>
      </w:r>
    </w:p>
    <w:p w14:paraId="3A4AE192" w14:textId="77777777" w:rsidR="000A6C14" w:rsidRPr="009163C4" w:rsidRDefault="000A6C14" w:rsidP="002503E7">
      <w:pPr>
        <w:numPr>
          <w:ilvl w:val="0"/>
          <w:numId w:val="8"/>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b/>
          <w:bCs/>
          <w:kern w:val="0"/>
          <w:sz w:val="24"/>
          <w:szCs w:val="24"/>
          <w:lang w:val="fr" w:eastAsia="fr-CI"/>
          <w14:ligatures w14:val="none"/>
        </w:rPr>
        <w:t>Autres formations innovantes ou approches de promotion de la chaîne de valeur</w:t>
      </w:r>
    </w:p>
    <w:p w14:paraId="65BC6478" w14:textId="77777777" w:rsidR="000A6C14" w:rsidRPr="009163C4" w:rsidRDefault="000A6C14" w:rsidP="000A6C14">
      <w:pPr>
        <w:spacing w:after="0" w:line="240" w:lineRule="auto"/>
        <w:ind w:left="72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En plus des deux premiers domaines thématiques, l’application pourrait également prendre en compte les sujets / approches de formation ci-dessous.</w:t>
      </w:r>
    </w:p>
    <w:p w14:paraId="076745E9" w14:textId="77777777" w:rsidR="000A6C14" w:rsidRPr="009163C4" w:rsidRDefault="000A6C14" w:rsidP="002503E7">
      <w:pPr>
        <w:numPr>
          <w:ilvl w:val="0"/>
          <w:numId w:val="9"/>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Liens entre l’agriculture contractuelle et la chaîne d’approvisionnement</w:t>
      </w:r>
    </w:p>
    <w:p w14:paraId="1FF1A7DB" w14:textId="77777777" w:rsidR="000A6C14" w:rsidRPr="009163C4" w:rsidRDefault="000A6C14" w:rsidP="002503E7">
      <w:pPr>
        <w:numPr>
          <w:ilvl w:val="0"/>
          <w:numId w:val="10"/>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Diversification (par exemple, cultures intercalaires, apiculture, agroforesterie, etc.)</w:t>
      </w:r>
    </w:p>
    <w:p w14:paraId="14C1367B" w14:textId="77777777" w:rsidR="000A6C14" w:rsidRPr="009163C4" w:rsidRDefault="000A6C14" w:rsidP="002503E7">
      <w:pPr>
        <w:numPr>
          <w:ilvl w:val="0"/>
          <w:numId w:val="10"/>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lastRenderedPageBreak/>
        <w:t>Production et/ou utilisation d’énergies renouvelables</w:t>
      </w:r>
    </w:p>
    <w:p w14:paraId="5353CFD2" w14:textId="77777777" w:rsidR="000A6C14" w:rsidRPr="009163C4" w:rsidRDefault="000A6C14" w:rsidP="002503E7">
      <w:pPr>
        <w:numPr>
          <w:ilvl w:val="0"/>
          <w:numId w:val="10"/>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Recyclage / recyclage des déchets des produits commerciaux</w:t>
      </w:r>
    </w:p>
    <w:p w14:paraId="51587B89" w14:textId="77777777" w:rsidR="000A6C14" w:rsidRPr="009163C4" w:rsidRDefault="000A6C14" w:rsidP="002503E7">
      <w:pPr>
        <w:numPr>
          <w:ilvl w:val="0"/>
          <w:numId w:val="10"/>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Utilisation des sous-produits du cajou</w:t>
      </w:r>
    </w:p>
    <w:p w14:paraId="4A882537" w14:textId="77777777" w:rsidR="000A6C14" w:rsidRPr="009163C4" w:rsidRDefault="000A6C14" w:rsidP="002503E7">
      <w:pPr>
        <w:numPr>
          <w:ilvl w:val="0"/>
          <w:numId w:val="10"/>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Transformation du cajou</w:t>
      </w:r>
    </w:p>
    <w:p w14:paraId="64087EC7" w14:textId="77777777" w:rsidR="000A6C14" w:rsidRPr="009163C4" w:rsidRDefault="000A6C14" w:rsidP="002503E7">
      <w:pPr>
        <w:numPr>
          <w:ilvl w:val="0"/>
          <w:numId w:val="11"/>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Liens commerciaux verticaux (liens d’approvisionnement)</w:t>
      </w:r>
    </w:p>
    <w:p w14:paraId="34F4834B" w14:textId="77777777" w:rsidR="000A6C14" w:rsidRPr="009163C4" w:rsidRDefault="000A6C14" w:rsidP="002503E7">
      <w:pPr>
        <w:numPr>
          <w:ilvl w:val="0"/>
          <w:numId w:val="11"/>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Gestion optimisée de l’approvisionnement et de la logistique (transport) incluant la communication, la traçabilité, / solution numérique.</w:t>
      </w:r>
    </w:p>
    <w:p w14:paraId="235D9669" w14:textId="77777777" w:rsidR="000A6C14" w:rsidRPr="009163C4" w:rsidRDefault="000A6C14" w:rsidP="002503E7">
      <w:pPr>
        <w:numPr>
          <w:ilvl w:val="0"/>
          <w:numId w:val="11"/>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Ecotourisme / agrotourisme</w:t>
      </w:r>
    </w:p>
    <w:p w14:paraId="585FFC88" w14:textId="77777777" w:rsidR="000A6C14" w:rsidRPr="009163C4" w:rsidRDefault="000A6C14" w:rsidP="002503E7">
      <w:pPr>
        <w:numPr>
          <w:ilvl w:val="0"/>
          <w:numId w:val="11"/>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Autonomisation des femmes et des jeunes</w:t>
      </w:r>
    </w:p>
    <w:p w14:paraId="7567C4B2" w14:textId="77777777" w:rsidR="000A6C14" w:rsidRPr="009163C4" w:rsidRDefault="000A6C14" w:rsidP="002503E7">
      <w:pPr>
        <w:numPr>
          <w:ilvl w:val="0"/>
          <w:numId w:val="11"/>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Certification (biologique, équitable, etc.)</w:t>
      </w:r>
    </w:p>
    <w:p w14:paraId="28F1D1F5" w14:textId="77777777" w:rsidR="000A6C14" w:rsidRPr="009163C4" w:rsidRDefault="000A6C14" w:rsidP="002503E7">
      <w:pPr>
        <w:numPr>
          <w:ilvl w:val="0"/>
          <w:numId w:val="12"/>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Services numériques (prévisions météorologiques, traçabilité)</w:t>
      </w:r>
    </w:p>
    <w:p w14:paraId="6010700E" w14:textId="77777777" w:rsidR="000A6C14" w:rsidRPr="009163C4" w:rsidRDefault="000A6C14" w:rsidP="002503E7">
      <w:pPr>
        <w:numPr>
          <w:ilvl w:val="0"/>
          <w:numId w:val="12"/>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Lutte antiparasitaire intégrée</w:t>
      </w:r>
    </w:p>
    <w:p w14:paraId="71A7B0EF" w14:textId="77777777" w:rsidR="000A6C14" w:rsidRPr="009163C4" w:rsidRDefault="000A6C14" w:rsidP="002503E7">
      <w:pPr>
        <w:numPr>
          <w:ilvl w:val="0"/>
          <w:numId w:val="12"/>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Gestion de la fertilité des sols</w:t>
      </w:r>
    </w:p>
    <w:p w14:paraId="493BB796" w14:textId="77777777" w:rsidR="000A6C14" w:rsidRPr="009163C4" w:rsidRDefault="000A6C14" w:rsidP="002503E7">
      <w:pPr>
        <w:numPr>
          <w:ilvl w:val="0"/>
          <w:numId w:val="12"/>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Gestion post-récolte</w:t>
      </w:r>
    </w:p>
    <w:p w14:paraId="12FECB96" w14:textId="77777777" w:rsidR="000A6C14" w:rsidRPr="009163C4" w:rsidRDefault="000A6C14" w:rsidP="002503E7">
      <w:pPr>
        <w:numPr>
          <w:ilvl w:val="0"/>
          <w:numId w:val="12"/>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Crédit carbone</w:t>
      </w:r>
    </w:p>
    <w:p w14:paraId="53D50804" w14:textId="77777777" w:rsidR="000A6C14" w:rsidRPr="009163C4" w:rsidRDefault="000A6C14" w:rsidP="002503E7">
      <w:pPr>
        <w:numPr>
          <w:ilvl w:val="0"/>
          <w:numId w:val="13"/>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Mécanisation</w:t>
      </w:r>
    </w:p>
    <w:p w14:paraId="2EA16915" w14:textId="77777777" w:rsidR="000A6C14" w:rsidRDefault="000A6C14" w:rsidP="002503E7">
      <w:pPr>
        <w:numPr>
          <w:ilvl w:val="0"/>
          <w:numId w:val="13"/>
        </w:numPr>
        <w:spacing w:after="0" w:line="240" w:lineRule="auto"/>
        <w:ind w:left="1080" w:firstLine="0"/>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Innovations dans le développement de nouveaux produits</w:t>
      </w:r>
    </w:p>
    <w:p w14:paraId="01490620" w14:textId="77777777" w:rsidR="000A6C14" w:rsidRDefault="000A6C14" w:rsidP="002503E7">
      <w:pPr>
        <w:numPr>
          <w:ilvl w:val="0"/>
          <w:numId w:val="13"/>
        </w:numPr>
        <w:spacing w:after="0" w:line="240" w:lineRule="auto"/>
        <w:ind w:left="1080" w:firstLine="0"/>
        <w:textAlignment w:val="baseline"/>
        <w:rPr>
          <w:rFonts w:ascii="Arial" w:eastAsia="Times New Roman" w:hAnsi="Arial" w:cs="Arial"/>
          <w:kern w:val="0"/>
          <w:sz w:val="24"/>
          <w:szCs w:val="24"/>
          <w:lang w:eastAsia="fr-CI"/>
          <w14:ligatures w14:val="none"/>
        </w:rPr>
      </w:pPr>
      <w:proofErr w:type="gramStart"/>
      <w:r w:rsidRPr="001101EF">
        <w:rPr>
          <w:rFonts w:ascii="Arial" w:eastAsia="Times New Roman" w:hAnsi="Arial" w:cs="Arial"/>
          <w:kern w:val="0"/>
          <w:sz w:val="24"/>
          <w:szCs w:val="24"/>
          <w:lang w:eastAsia="fr-CI"/>
          <w14:ligatures w14:val="none"/>
        </w:rPr>
        <w:t>l'accès</w:t>
      </w:r>
      <w:proofErr w:type="gramEnd"/>
      <w:r w:rsidRPr="001101EF">
        <w:rPr>
          <w:rFonts w:ascii="Arial" w:eastAsia="Times New Roman" w:hAnsi="Arial" w:cs="Arial"/>
          <w:kern w:val="0"/>
          <w:sz w:val="24"/>
          <w:szCs w:val="24"/>
          <w:lang w:eastAsia="fr-CI"/>
          <w14:ligatures w14:val="none"/>
        </w:rPr>
        <w:t xml:space="preserve"> au financement </w:t>
      </w:r>
    </w:p>
    <w:p w14:paraId="697CB5A4" w14:textId="77777777" w:rsidR="000A6C14" w:rsidRPr="001101EF" w:rsidRDefault="000A6C14" w:rsidP="002503E7">
      <w:pPr>
        <w:numPr>
          <w:ilvl w:val="0"/>
          <w:numId w:val="13"/>
        </w:numPr>
        <w:spacing w:after="0" w:line="240" w:lineRule="auto"/>
        <w:ind w:left="1080" w:firstLine="0"/>
        <w:textAlignment w:val="baseline"/>
        <w:rPr>
          <w:rFonts w:ascii="Arial" w:eastAsia="Times New Roman" w:hAnsi="Arial" w:cs="Arial"/>
          <w:kern w:val="0"/>
          <w:sz w:val="24"/>
          <w:szCs w:val="24"/>
          <w:lang w:eastAsia="fr-CI"/>
          <w14:ligatures w14:val="none"/>
        </w:rPr>
      </w:pPr>
      <w:r w:rsidRPr="001101EF">
        <w:rPr>
          <w:rFonts w:ascii="Arial" w:eastAsia="Times New Roman" w:hAnsi="Arial" w:cs="Arial"/>
          <w:kern w:val="0"/>
          <w:sz w:val="24"/>
          <w:szCs w:val="24"/>
          <w:lang w:eastAsia="fr-CI"/>
          <w14:ligatures w14:val="none"/>
        </w:rPr>
        <w:t>Durabilité sociale (sensibilisation au travail des enfants, au travail forcé, etc.)</w:t>
      </w:r>
    </w:p>
    <w:p w14:paraId="7051415F" w14:textId="77777777" w:rsidR="000A6C14" w:rsidRPr="009163C4" w:rsidRDefault="000A6C14" w:rsidP="000A6C14">
      <w:pPr>
        <w:spacing w:after="0" w:line="240" w:lineRule="auto"/>
        <w:ind w:left="720"/>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7845DB49" w14:textId="77777777" w:rsidR="000A6C14" w:rsidRPr="009163C4" w:rsidRDefault="000A6C14" w:rsidP="000A6C14">
      <w:pPr>
        <w:spacing w:after="0" w:line="240" w:lineRule="auto"/>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AFA7070"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64B84856" w14:textId="77777777" w:rsidR="000A6C14" w:rsidRPr="009163C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0CBBE84E"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 xml:space="preserve">Quels sont les coûts admissibles au remboursement dans le cadre du Fonds de contrepartie </w:t>
      </w:r>
      <w:proofErr w:type="gramStart"/>
      <w:r w:rsidRPr="009163C4">
        <w:rPr>
          <w:rFonts w:ascii="Arial" w:hAnsi="Arial" w:cs="Arial"/>
          <w:b/>
          <w:bCs/>
          <w:color w:val="2F5496"/>
          <w:kern w:val="0"/>
          <w:sz w:val="24"/>
          <w:szCs w:val="24"/>
          <w:lang w:val="fr" w:eastAsia="fr-CI"/>
          <w14:ligatures w14:val="none"/>
        </w:rPr>
        <w:t>compétitif?</w:t>
      </w:r>
      <w:proofErr w:type="gramEnd"/>
    </w:p>
    <w:p w14:paraId="1FCBC2BE" w14:textId="77777777" w:rsidR="000A6C14" w:rsidRPr="009163C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Seuls les coûts directs réels (sans aucune plus-value) immédiatement encourus par le projet peuvent faire l'objet d'un remboursement, conformément à la contribution de la GIZ convenue dans le contrat. Les coûts qui dépassent le pourcentage des coûts totaux ou la limite supérieure fixée par le contrat ne seront pas remboursés. Les coûts encourus en dehors de la durée du contrat du Fonds de subvention de contrepartie ne seront pas non plus remboursés. Les frais généraux et autres montants forfaitaires, les coûts imputés, l'amortissement et la dépréciation, les dotations aux provisions et les majorations de bénéfices ou autres majorations de coûts ne sont pas éligibles au remboursement. </w:t>
      </w:r>
    </w:p>
    <w:p w14:paraId="66FAB4A9"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 xml:space="preserve">Pour un guide plus détaillé des coûts éligibles au remboursement dans le cadre du Fonds de subvention complémentaire, veuillez consulter l'annexe </w:t>
      </w:r>
      <w:r>
        <w:rPr>
          <w:rFonts w:ascii="Arial" w:hAnsi="Arial" w:cs="Arial"/>
          <w:kern w:val="0"/>
          <w:sz w:val="24"/>
          <w:szCs w:val="24"/>
          <w:lang w:val="fr" w:eastAsia="fr-CI"/>
          <w14:ligatures w14:val="none"/>
        </w:rPr>
        <w:t>4</w:t>
      </w:r>
    </w:p>
    <w:p w14:paraId="3AF195BB"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eastAsia="Times New Roman" w:hAnsi="Arial" w:cs="Arial"/>
          <w:b/>
          <w:bCs/>
          <w:color w:val="2F5496"/>
          <w:kern w:val="0"/>
          <w:sz w:val="24"/>
          <w:szCs w:val="24"/>
          <w:lang w:eastAsia="fr-CI"/>
          <w14:ligatures w14:val="none"/>
        </w:rPr>
        <w:t> </w:t>
      </w:r>
    </w:p>
    <w:p w14:paraId="6109F4B5"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Indicateurs du projet</w:t>
      </w:r>
    </w:p>
    <w:p w14:paraId="55FDB26C"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07E81">
        <w:rPr>
          <w:rFonts w:ascii="Arial" w:hAnsi="Arial" w:cs="Arial"/>
          <w:kern w:val="0"/>
          <w:sz w:val="24"/>
          <w:szCs w:val="24"/>
          <w:lang w:val="fr" w:eastAsia="fr-CI"/>
          <w14:ligatures w14:val="none"/>
        </w:rPr>
        <w:t xml:space="preserve">Les indicateurs clés de performance, qui seront utilisés pour mesurer le succès ou l'échec des projets du Fonds de contrepartie, seront discutés et convenus au cours du processus de candidature. Ils peuvent inclure les éléments </w:t>
      </w:r>
      <w:r w:rsidRPr="006400EA">
        <w:rPr>
          <w:rFonts w:ascii="Arial" w:hAnsi="Arial" w:cs="Arial"/>
          <w:b/>
          <w:bCs/>
          <w:kern w:val="0"/>
          <w:sz w:val="24"/>
          <w:szCs w:val="24"/>
          <w:lang w:val="fr" w:eastAsia="fr-CI"/>
          <w14:ligatures w14:val="none"/>
        </w:rPr>
        <w:t xml:space="preserve">suivants (les deux premiers (revenus, résilience climatique et genre) étant obligatoires pour tous les candidats </w:t>
      </w:r>
      <w:r w:rsidRPr="00907E81">
        <w:rPr>
          <w:rFonts w:ascii="Arial" w:hAnsi="Arial" w:cs="Arial"/>
          <w:kern w:val="0"/>
          <w:sz w:val="24"/>
          <w:szCs w:val="24"/>
          <w:lang w:val="fr" w:eastAsia="fr-CI"/>
          <w14:ligatures w14:val="none"/>
        </w:rPr>
        <w:t>et les autres facultatifs). Cela signifie que tous les candidats doivent travailler et rendre compte au projet MOVE sur les trois premiers thèmes, ainsi que sur tout autre thème de leur choix parmi les autres.</w:t>
      </w:r>
    </w:p>
    <w:p w14:paraId="00B2BDF1"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642D7ED2"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406727F0"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50740BD6"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0EF6EEEE"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tbl>
      <w:tblPr>
        <w:tblStyle w:val="TableGrid"/>
        <w:tblW w:w="0" w:type="auto"/>
        <w:tblLook w:val="04A0" w:firstRow="1" w:lastRow="0" w:firstColumn="1" w:lastColumn="0" w:noHBand="0" w:noVBand="1"/>
      </w:tblPr>
      <w:tblGrid>
        <w:gridCol w:w="8978"/>
        <w:gridCol w:w="38"/>
      </w:tblGrid>
      <w:tr w:rsidR="000A6C14" w:rsidRPr="00F16D14" w14:paraId="4B01BA85" w14:textId="77777777" w:rsidTr="00CF3208">
        <w:trPr>
          <w:trHeight w:val="300"/>
        </w:trPr>
        <w:tc>
          <w:tcPr>
            <w:tcW w:w="9060" w:type="dxa"/>
            <w:gridSpan w:val="2"/>
            <w:shd w:val="clear" w:color="auto" w:fill="A8D08D" w:themeFill="accent6" w:themeFillTint="99"/>
          </w:tcPr>
          <w:p w14:paraId="3238E04D" w14:textId="77777777" w:rsidR="000A6C14" w:rsidRPr="00AE0C2F" w:rsidRDefault="000A6C14" w:rsidP="002503E7">
            <w:pPr>
              <w:pStyle w:val="ListParagraph"/>
              <w:widowControl w:val="0"/>
              <w:numPr>
                <w:ilvl w:val="0"/>
                <w:numId w:val="23"/>
              </w:numPr>
              <w:tabs>
                <w:tab w:val="left" w:pos="1111"/>
                <w:tab w:val="left" w:pos="1112"/>
              </w:tabs>
              <w:autoSpaceDE w:val="0"/>
              <w:autoSpaceDN w:val="0"/>
              <w:spacing w:before="121" w:line="276" w:lineRule="auto"/>
              <w:jc w:val="both"/>
              <w:rPr>
                <w:rFonts w:eastAsia="Times New Roman"/>
                <w:b/>
              </w:rPr>
            </w:pPr>
            <w:r w:rsidRPr="00AE0C2F">
              <w:rPr>
                <w:rFonts w:eastAsia="Times New Roman"/>
                <w:b/>
              </w:rPr>
              <w:t>Revenu et chiffre d'affaires</w:t>
            </w:r>
          </w:p>
        </w:tc>
      </w:tr>
      <w:tr w:rsidR="000A6C14" w:rsidRPr="00F16D14" w14:paraId="3EA589C1" w14:textId="77777777" w:rsidTr="00CF3208">
        <w:trPr>
          <w:gridAfter w:val="1"/>
          <w:wAfter w:w="38" w:type="dxa"/>
          <w:trHeight w:val="300"/>
        </w:trPr>
        <w:tc>
          <w:tcPr>
            <w:tcW w:w="9060" w:type="dxa"/>
          </w:tcPr>
          <w:p w14:paraId="1C5D6446" w14:textId="77777777" w:rsidR="000A6C14" w:rsidRPr="00AE0C2F"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AE0C2F">
              <w:rPr>
                <w:lang w:val="fr-FR"/>
              </w:rPr>
              <w:t xml:space="preserve">Augmentation moyenne du revenu des MPME agricoles fournisseuses </w:t>
            </w:r>
          </w:p>
          <w:p w14:paraId="45DC90BE" w14:textId="77777777" w:rsidR="000A6C14" w:rsidRPr="00AE0C2F"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AE0C2F">
              <w:rPr>
                <w:rFonts w:eastAsia="Times New Roman"/>
                <w:lang w:val="fr-FR"/>
              </w:rPr>
              <w:t xml:space="preserve">Chiffre d'affaires des organisations de producteurs provenant des services fournis à leurs membres </w:t>
            </w:r>
          </w:p>
          <w:p w14:paraId="39A9B585" w14:textId="77777777" w:rsidR="000A6C14" w:rsidRPr="00D650FE" w:rsidRDefault="000A6C14" w:rsidP="002503E7">
            <w:pPr>
              <w:pStyle w:val="ListParagraph"/>
              <w:widowControl w:val="0"/>
              <w:numPr>
                <w:ilvl w:val="0"/>
                <w:numId w:val="14"/>
              </w:numPr>
              <w:tabs>
                <w:tab w:val="left" w:pos="1111"/>
                <w:tab w:val="left" w:pos="1112"/>
              </w:tabs>
              <w:autoSpaceDE w:val="0"/>
              <w:autoSpaceDN w:val="0"/>
              <w:spacing w:before="121" w:line="276" w:lineRule="auto"/>
              <w:jc w:val="both"/>
              <w:rPr>
                <w:lang w:val="fr-FR"/>
              </w:rPr>
            </w:pPr>
            <w:r w:rsidRPr="00AE0C2F">
              <w:rPr>
                <w:rFonts w:eastAsia="Times New Roman"/>
                <w:lang w:val="fr-FR"/>
              </w:rPr>
              <w:t>Chiffre d'affaires de la transformation</w:t>
            </w:r>
          </w:p>
        </w:tc>
      </w:tr>
      <w:tr w:rsidR="000A6C14" w:rsidRPr="00F16D14" w14:paraId="4B1B1468" w14:textId="77777777" w:rsidTr="00CF3208">
        <w:trPr>
          <w:trHeight w:val="300"/>
        </w:trPr>
        <w:tc>
          <w:tcPr>
            <w:tcW w:w="9060" w:type="dxa"/>
            <w:gridSpan w:val="2"/>
            <w:shd w:val="clear" w:color="auto" w:fill="A8D08D" w:themeFill="accent6" w:themeFillTint="99"/>
          </w:tcPr>
          <w:p w14:paraId="6FA2942A" w14:textId="77777777" w:rsidR="000A6C14" w:rsidRPr="006B47EB" w:rsidRDefault="000A6C14" w:rsidP="002503E7">
            <w:pPr>
              <w:pStyle w:val="ListParagraph"/>
              <w:widowControl w:val="0"/>
              <w:numPr>
                <w:ilvl w:val="0"/>
                <w:numId w:val="23"/>
              </w:numPr>
              <w:tabs>
                <w:tab w:val="left" w:pos="1111"/>
                <w:tab w:val="left" w:pos="1112"/>
              </w:tabs>
              <w:autoSpaceDE w:val="0"/>
              <w:autoSpaceDN w:val="0"/>
              <w:spacing w:before="121" w:line="276" w:lineRule="auto"/>
              <w:jc w:val="both"/>
              <w:rPr>
                <w:rFonts w:eastAsia="Times New Roman"/>
                <w:b/>
                <w:lang w:val="fr-FR"/>
              </w:rPr>
            </w:pPr>
            <w:r w:rsidRPr="006B47EB">
              <w:rPr>
                <w:b/>
                <w:lang w:val="fr-FR"/>
              </w:rPr>
              <w:t>La résilience climatique et le genre</w:t>
            </w:r>
          </w:p>
        </w:tc>
      </w:tr>
      <w:tr w:rsidR="000A6C14" w:rsidRPr="00AE0C2F" w14:paraId="7FFDD02D" w14:textId="77777777" w:rsidTr="00CF3208">
        <w:trPr>
          <w:gridAfter w:val="1"/>
          <w:wAfter w:w="38" w:type="dxa"/>
          <w:trHeight w:val="300"/>
        </w:trPr>
        <w:tc>
          <w:tcPr>
            <w:tcW w:w="9060" w:type="dxa"/>
          </w:tcPr>
          <w:p w14:paraId="68EAAB14" w14:textId="77777777" w:rsidR="000A6C14" w:rsidRPr="00AE0C2F" w:rsidRDefault="000A6C14" w:rsidP="002503E7">
            <w:pPr>
              <w:pStyle w:val="ListParagraph"/>
              <w:widowControl w:val="0"/>
              <w:numPr>
                <w:ilvl w:val="0"/>
                <w:numId w:val="19"/>
              </w:numPr>
              <w:tabs>
                <w:tab w:val="left" w:pos="1111"/>
                <w:tab w:val="left" w:pos="1112"/>
              </w:tabs>
              <w:autoSpaceDE w:val="0"/>
              <w:autoSpaceDN w:val="0"/>
              <w:spacing w:before="121" w:line="276" w:lineRule="auto"/>
              <w:jc w:val="both"/>
              <w:rPr>
                <w:lang w:val="fr-FR"/>
              </w:rPr>
            </w:pPr>
            <w:r w:rsidRPr="00AE0C2F">
              <w:rPr>
                <w:lang w:val="fr-FR"/>
              </w:rPr>
              <w:t xml:space="preserve">Contribution à la résilience climatique (adaptation et/ou atténuation/réduction et/stockage du CO2) </w:t>
            </w:r>
          </w:p>
          <w:p w14:paraId="0DB1FB2E" w14:textId="77777777" w:rsidR="000A6C14" w:rsidRPr="00AE0C2F" w:rsidRDefault="000A6C14" w:rsidP="002503E7">
            <w:pPr>
              <w:pStyle w:val="ListParagraph"/>
              <w:widowControl w:val="0"/>
              <w:numPr>
                <w:ilvl w:val="0"/>
                <w:numId w:val="19"/>
              </w:numPr>
              <w:tabs>
                <w:tab w:val="left" w:pos="1111"/>
                <w:tab w:val="left" w:pos="1112"/>
              </w:tabs>
              <w:autoSpaceDE w:val="0"/>
              <w:autoSpaceDN w:val="0"/>
              <w:spacing w:before="121" w:line="276" w:lineRule="auto"/>
              <w:jc w:val="both"/>
              <w:rPr>
                <w:lang w:val="fr-FR"/>
              </w:rPr>
            </w:pPr>
            <w:r w:rsidRPr="00AE0C2F">
              <w:rPr>
                <w:lang w:val="fr-FR"/>
              </w:rPr>
              <w:t>Renforcement des femmes et des jeunes, qui devraient représenter chacun 50 % de l'intervention proposée, dans l'accès aux ressources, à l'éducation, aux opportunités d'affaires et aux liens, à la prise de décision liée à l'investissement et au financement.</w:t>
            </w:r>
          </w:p>
        </w:tc>
      </w:tr>
      <w:tr w:rsidR="000A6C14" w:rsidRPr="00F16D14" w14:paraId="6DF60497" w14:textId="77777777" w:rsidTr="00CF3208">
        <w:trPr>
          <w:trHeight w:val="300"/>
        </w:trPr>
        <w:tc>
          <w:tcPr>
            <w:tcW w:w="9060" w:type="dxa"/>
            <w:gridSpan w:val="2"/>
            <w:shd w:val="clear" w:color="auto" w:fill="A8D08D" w:themeFill="accent6" w:themeFillTint="99"/>
          </w:tcPr>
          <w:p w14:paraId="47283E97" w14:textId="77777777" w:rsidR="000A6C14" w:rsidRPr="00872B03" w:rsidRDefault="000A6C14" w:rsidP="002503E7">
            <w:pPr>
              <w:pStyle w:val="ListParagraph"/>
              <w:widowControl w:val="0"/>
              <w:numPr>
                <w:ilvl w:val="0"/>
                <w:numId w:val="23"/>
              </w:numPr>
              <w:tabs>
                <w:tab w:val="left" w:pos="1111"/>
                <w:tab w:val="left" w:pos="1112"/>
              </w:tabs>
              <w:autoSpaceDE w:val="0"/>
              <w:autoSpaceDN w:val="0"/>
              <w:spacing w:before="121" w:line="276" w:lineRule="auto"/>
              <w:jc w:val="both"/>
              <w:rPr>
                <w:rFonts w:eastAsia="Times New Roman"/>
                <w:b/>
                <w:lang w:val="fr-FR"/>
              </w:rPr>
            </w:pPr>
            <w:r w:rsidRPr="00872B03">
              <w:rPr>
                <w:rFonts w:eastAsia="Times New Roman"/>
                <w:b/>
                <w:lang w:val="fr-FR"/>
              </w:rPr>
              <w:t>Création d'emplois et organisations de producteurs</w:t>
            </w:r>
          </w:p>
        </w:tc>
      </w:tr>
      <w:tr w:rsidR="000A6C14" w:rsidRPr="00D51C79" w14:paraId="0B5C7067" w14:textId="77777777" w:rsidTr="00CF3208">
        <w:trPr>
          <w:gridAfter w:val="1"/>
          <w:wAfter w:w="38" w:type="dxa"/>
          <w:trHeight w:val="300"/>
        </w:trPr>
        <w:tc>
          <w:tcPr>
            <w:tcW w:w="9060" w:type="dxa"/>
          </w:tcPr>
          <w:p w14:paraId="121AF79D" w14:textId="77777777" w:rsidR="000A6C14" w:rsidRPr="00D51C79" w:rsidRDefault="000A6C14" w:rsidP="002503E7">
            <w:pPr>
              <w:pStyle w:val="ListParagraph"/>
              <w:widowControl w:val="0"/>
              <w:numPr>
                <w:ilvl w:val="0"/>
                <w:numId w:val="20"/>
              </w:numPr>
              <w:tabs>
                <w:tab w:val="left" w:pos="1111"/>
                <w:tab w:val="left" w:pos="1112"/>
              </w:tabs>
              <w:autoSpaceDE w:val="0"/>
              <w:autoSpaceDN w:val="0"/>
              <w:spacing w:before="121" w:line="276" w:lineRule="auto"/>
              <w:jc w:val="both"/>
              <w:rPr>
                <w:lang w:val="fr-FR"/>
              </w:rPr>
            </w:pPr>
            <w:r w:rsidRPr="00D51C79">
              <w:rPr>
                <w:lang w:val="fr-FR"/>
              </w:rPr>
              <w:t xml:space="preserve">Emplois créés dans la production primaire. </w:t>
            </w:r>
          </w:p>
          <w:p w14:paraId="2F9A0519" w14:textId="77777777" w:rsidR="000A6C14" w:rsidRPr="00D51C79" w:rsidRDefault="000A6C14" w:rsidP="002503E7">
            <w:pPr>
              <w:pStyle w:val="ListParagraph"/>
              <w:widowControl w:val="0"/>
              <w:numPr>
                <w:ilvl w:val="0"/>
                <w:numId w:val="20"/>
              </w:numPr>
              <w:tabs>
                <w:tab w:val="left" w:pos="1111"/>
                <w:tab w:val="left" w:pos="1112"/>
              </w:tabs>
              <w:autoSpaceDE w:val="0"/>
              <w:autoSpaceDN w:val="0"/>
              <w:spacing w:before="121" w:line="276" w:lineRule="auto"/>
              <w:jc w:val="both"/>
              <w:rPr>
                <w:lang w:val="fr-FR"/>
              </w:rPr>
            </w:pPr>
            <w:r w:rsidRPr="00D51C79">
              <w:rPr>
                <w:lang w:val="fr-FR"/>
              </w:rPr>
              <w:t xml:space="preserve">Emplois créés dans la transformation.   </w:t>
            </w:r>
          </w:p>
          <w:p w14:paraId="42C2595D" w14:textId="77777777" w:rsidR="000A6C14" w:rsidRPr="00D51C79" w:rsidRDefault="000A6C14" w:rsidP="002503E7">
            <w:pPr>
              <w:pStyle w:val="ListParagraph"/>
              <w:widowControl w:val="0"/>
              <w:numPr>
                <w:ilvl w:val="0"/>
                <w:numId w:val="20"/>
              </w:numPr>
              <w:tabs>
                <w:tab w:val="left" w:pos="1111"/>
                <w:tab w:val="left" w:pos="1112"/>
              </w:tabs>
              <w:autoSpaceDE w:val="0"/>
              <w:autoSpaceDN w:val="0"/>
              <w:spacing w:before="121" w:line="276" w:lineRule="auto"/>
              <w:jc w:val="both"/>
              <w:rPr>
                <w:lang w:val="fr-FR"/>
              </w:rPr>
            </w:pPr>
            <w:r w:rsidRPr="00D51C79">
              <w:rPr>
                <w:lang w:val="fr-FR"/>
              </w:rPr>
              <w:t xml:space="preserve">Emplois créés dans les services (techniques, numériques, financiers) </w:t>
            </w:r>
          </w:p>
          <w:p w14:paraId="34EB10FD" w14:textId="77777777" w:rsidR="000A6C14" w:rsidRPr="00D51C79" w:rsidRDefault="000A6C14" w:rsidP="002503E7">
            <w:pPr>
              <w:pStyle w:val="ListParagraph"/>
              <w:widowControl w:val="0"/>
              <w:numPr>
                <w:ilvl w:val="0"/>
                <w:numId w:val="20"/>
              </w:numPr>
              <w:tabs>
                <w:tab w:val="left" w:pos="1111"/>
                <w:tab w:val="left" w:pos="1112"/>
              </w:tabs>
              <w:autoSpaceDE w:val="0"/>
              <w:autoSpaceDN w:val="0"/>
              <w:spacing w:before="121" w:line="276" w:lineRule="auto"/>
              <w:jc w:val="both"/>
              <w:rPr>
                <w:lang w:val="fr-FR"/>
              </w:rPr>
            </w:pPr>
            <w:r w:rsidRPr="00D51C79">
              <w:rPr>
                <w:lang w:val="fr-FR"/>
              </w:rPr>
              <w:t>Augmentation du nombre de membres des organisations de producteurs (augmentation, fusions, unions, etc.)</w:t>
            </w:r>
          </w:p>
          <w:p w14:paraId="38F78956" w14:textId="77777777" w:rsidR="000A6C14" w:rsidRPr="00D51C79" w:rsidRDefault="000A6C14" w:rsidP="00CF3208">
            <w:pPr>
              <w:spacing w:line="276" w:lineRule="auto"/>
              <w:rPr>
                <w:rFonts w:ascii="Arial" w:hAnsi="Arial" w:cs="Arial"/>
                <w:lang w:val="fr-FR"/>
              </w:rPr>
            </w:pPr>
          </w:p>
        </w:tc>
      </w:tr>
      <w:tr w:rsidR="000A6C14" w:rsidRPr="00F16D14" w14:paraId="5B41922A" w14:textId="77777777" w:rsidTr="00CF3208">
        <w:trPr>
          <w:trHeight w:val="300"/>
        </w:trPr>
        <w:tc>
          <w:tcPr>
            <w:tcW w:w="9060" w:type="dxa"/>
            <w:gridSpan w:val="2"/>
            <w:shd w:val="clear" w:color="auto" w:fill="A8D08D" w:themeFill="accent6" w:themeFillTint="99"/>
          </w:tcPr>
          <w:p w14:paraId="7450CFD2" w14:textId="77777777" w:rsidR="000A6C14" w:rsidRPr="005D1545" w:rsidRDefault="000A6C14" w:rsidP="002503E7">
            <w:pPr>
              <w:pStyle w:val="ListParagraph"/>
              <w:widowControl w:val="0"/>
              <w:numPr>
                <w:ilvl w:val="0"/>
                <w:numId w:val="23"/>
              </w:numPr>
              <w:tabs>
                <w:tab w:val="left" w:pos="1111"/>
                <w:tab w:val="left" w:pos="1112"/>
              </w:tabs>
              <w:autoSpaceDE w:val="0"/>
              <w:autoSpaceDN w:val="0"/>
              <w:spacing w:before="121" w:line="276" w:lineRule="auto"/>
              <w:jc w:val="both"/>
              <w:rPr>
                <w:rFonts w:eastAsia="Times New Roman"/>
                <w:b/>
              </w:rPr>
            </w:pPr>
            <w:r w:rsidRPr="009907F6">
              <w:rPr>
                <w:rFonts w:eastAsia="Times New Roman"/>
                <w:b/>
              </w:rPr>
              <w:t>Sécurité alimentaire et exportations</w:t>
            </w:r>
          </w:p>
        </w:tc>
      </w:tr>
      <w:tr w:rsidR="000A6C14" w:rsidRPr="00F16D14" w14:paraId="4EA0F80C" w14:textId="77777777" w:rsidTr="00CF3208">
        <w:trPr>
          <w:gridAfter w:val="1"/>
          <w:wAfter w:w="38" w:type="dxa"/>
          <w:trHeight w:val="300"/>
        </w:trPr>
        <w:tc>
          <w:tcPr>
            <w:tcW w:w="9060" w:type="dxa"/>
          </w:tcPr>
          <w:p w14:paraId="7D913E3B" w14:textId="77777777" w:rsidR="000A6C14" w:rsidRPr="00A4247A" w:rsidRDefault="000A6C14" w:rsidP="002503E7">
            <w:pPr>
              <w:pStyle w:val="ListParagraph"/>
              <w:widowControl w:val="0"/>
              <w:numPr>
                <w:ilvl w:val="0"/>
                <w:numId w:val="21"/>
              </w:numPr>
              <w:tabs>
                <w:tab w:val="left" w:pos="1111"/>
                <w:tab w:val="left" w:pos="1112"/>
              </w:tabs>
              <w:autoSpaceDE w:val="0"/>
              <w:autoSpaceDN w:val="0"/>
              <w:spacing w:before="121" w:line="276" w:lineRule="auto"/>
              <w:jc w:val="both"/>
              <w:rPr>
                <w:lang w:val="fr-FR"/>
              </w:rPr>
            </w:pPr>
            <w:r w:rsidRPr="00A4247A">
              <w:rPr>
                <w:lang w:val="fr-FR"/>
              </w:rPr>
              <w:t xml:space="preserve">Contribution à la sécurité alimentaire par l'approvisionnement des marchés en denrées (produits) alimentaires  </w:t>
            </w:r>
          </w:p>
          <w:p w14:paraId="480D49A1" w14:textId="77777777" w:rsidR="000A6C14" w:rsidRPr="00A4247A" w:rsidRDefault="000A6C14" w:rsidP="002503E7">
            <w:pPr>
              <w:pStyle w:val="ListParagraph"/>
              <w:widowControl w:val="0"/>
              <w:numPr>
                <w:ilvl w:val="0"/>
                <w:numId w:val="21"/>
              </w:numPr>
              <w:tabs>
                <w:tab w:val="left" w:pos="1111"/>
                <w:tab w:val="left" w:pos="1112"/>
              </w:tabs>
              <w:autoSpaceDE w:val="0"/>
              <w:autoSpaceDN w:val="0"/>
              <w:spacing w:before="121" w:line="276" w:lineRule="auto"/>
              <w:jc w:val="both"/>
              <w:rPr>
                <w:lang w:val="fr-FR"/>
              </w:rPr>
            </w:pPr>
            <w:r w:rsidRPr="00A4247A">
              <w:rPr>
                <w:lang w:val="fr-FR"/>
              </w:rPr>
              <w:t xml:space="preserve">Contribution aux importations de substitution de produits alimentaires ou d'ingrédients pour l'industrie (alimentaire)  </w:t>
            </w:r>
          </w:p>
          <w:p w14:paraId="40CE8A6B" w14:textId="77777777" w:rsidR="000A6C14" w:rsidRPr="00A4247A" w:rsidRDefault="000A6C14" w:rsidP="002503E7">
            <w:pPr>
              <w:pStyle w:val="ListParagraph"/>
              <w:widowControl w:val="0"/>
              <w:numPr>
                <w:ilvl w:val="0"/>
                <w:numId w:val="21"/>
              </w:numPr>
              <w:tabs>
                <w:tab w:val="left" w:pos="1111"/>
                <w:tab w:val="left" w:pos="1112"/>
              </w:tabs>
              <w:autoSpaceDE w:val="0"/>
              <w:autoSpaceDN w:val="0"/>
              <w:spacing w:before="121" w:line="276" w:lineRule="auto"/>
              <w:jc w:val="both"/>
              <w:rPr>
                <w:lang w:val="fr-FR"/>
              </w:rPr>
            </w:pPr>
            <w:r w:rsidRPr="00A4247A">
              <w:rPr>
                <w:lang w:val="fr-FR"/>
              </w:rPr>
              <w:t>Recettes en devises étrangères provenant de l'exportation</w:t>
            </w:r>
          </w:p>
        </w:tc>
      </w:tr>
      <w:tr w:rsidR="000A6C14" w:rsidRPr="00F16D14" w14:paraId="3809B640" w14:textId="77777777" w:rsidTr="00CF3208">
        <w:trPr>
          <w:trHeight w:val="300"/>
        </w:trPr>
        <w:tc>
          <w:tcPr>
            <w:tcW w:w="9060" w:type="dxa"/>
            <w:gridSpan w:val="2"/>
            <w:shd w:val="clear" w:color="auto" w:fill="A8D08D" w:themeFill="accent6" w:themeFillTint="99"/>
          </w:tcPr>
          <w:p w14:paraId="1058C1A6" w14:textId="77777777" w:rsidR="000A6C14" w:rsidRPr="005D1545" w:rsidRDefault="000A6C14" w:rsidP="002503E7">
            <w:pPr>
              <w:pStyle w:val="ListParagraph"/>
              <w:widowControl w:val="0"/>
              <w:numPr>
                <w:ilvl w:val="0"/>
                <w:numId w:val="23"/>
              </w:numPr>
              <w:tabs>
                <w:tab w:val="left" w:pos="1111"/>
                <w:tab w:val="left" w:pos="1112"/>
              </w:tabs>
              <w:autoSpaceDE w:val="0"/>
              <w:autoSpaceDN w:val="0"/>
              <w:spacing w:before="121" w:line="276" w:lineRule="auto"/>
              <w:jc w:val="both"/>
              <w:rPr>
                <w:rFonts w:eastAsia="Times New Roman"/>
                <w:b/>
              </w:rPr>
            </w:pPr>
            <w:r w:rsidRPr="005025C1">
              <w:rPr>
                <w:b/>
              </w:rPr>
              <w:t>Innovation</w:t>
            </w:r>
          </w:p>
        </w:tc>
      </w:tr>
      <w:tr w:rsidR="000A6C14" w:rsidRPr="00F16D14" w14:paraId="18A288D2" w14:textId="77777777" w:rsidTr="00CF3208">
        <w:trPr>
          <w:gridAfter w:val="1"/>
          <w:wAfter w:w="38" w:type="dxa"/>
          <w:trHeight w:val="300"/>
        </w:trPr>
        <w:tc>
          <w:tcPr>
            <w:tcW w:w="9060" w:type="dxa"/>
          </w:tcPr>
          <w:p w14:paraId="67A190E3" w14:textId="77777777" w:rsidR="000A6C14" w:rsidRPr="002E00A8" w:rsidRDefault="000A6C14" w:rsidP="002503E7">
            <w:pPr>
              <w:pStyle w:val="ListParagraph"/>
              <w:widowControl w:val="0"/>
              <w:numPr>
                <w:ilvl w:val="0"/>
                <w:numId w:val="22"/>
              </w:numPr>
              <w:tabs>
                <w:tab w:val="left" w:pos="1111"/>
                <w:tab w:val="left" w:pos="1112"/>
              </w:tabs>
              <w:autoSpaceDE w:val="0"/>
              <w:autoSpaceDN w:val="0"/>
              <w:spacing w:before="121" w:line="276" w:lineRule="auto"/>
              <w:jc w:val="both"/>
              <w:rPr>
                <w:lang w:val="fr-FR"/>
              </w:rPr>
            </w:pPr>
            <w:r w:rsidRPr="002E00A8">
              <w:rPr>
                <w:lang w:val="fr-FR"/>
              </w:rPr>
              <w:t xml:space="preserve"> Innovation dans la production primaire </w:t>
            </w:r>
          </w:p>
          <w:p w14:paraId="3C4033ED" w14:textId="77777777" w:rsidR="000A6C14" w:rsidRPr="002E00A8" w:rsidRDefault="000A6C14" w:rsidP="002503E7">
            <w:pPr>
              <w:pStyle w:val="ListParagraph"/>
              <w:widowControl w:val="0"/>
              <w:numPr>
                <w:ilvl w:val="0"/>
                <w:numId w:val="22"/>
              </w:numPr>
              <w:tabs>
                <w:tab w:val="left" w:pos="1111"/>
                <w:tab w:val="left" w:pos="1112"/>
              </w:tabs>
              <w:autoSpaceDE w:val="0"/>
              <w:autoSpaceDN w:val="0"/>
              <w:spacing w:before="121" w:line="276" w:lineRule="auto"/>
              <w:jc w:val="both"/>
              <w:rPr>
                <w:lang w:val="fr-FR"/>
              </w:rPr>
            </w:pPr>
            <w:r>
              <w:rPr>
                <w:lang w:val="fr-FR"/>
              </w:rPr>
              <w:t xml:space="preserve"> </w:t>
            </w:r>
            <w:r w:rsidRPr="002E00A8">
              <w:rPr>
                <w:lang w:val="fr-FR"/>
              </w:rPr>
              <w:t>Innovation dans la transformation pour l'optimisation des processus, l'efficacité et la qualité Efficacité dans la transformation et la technologie</w:t>
            </w:r>
          </w:p>
          <w:p w14:paraId="0614CE50" w14:textId="77777777" w:rsidR="000A6C14" w:rsidRPr="002E00A8" w:rsidRDefault="000A6C14" w:rsidP="002503E7">
            <w:pPr>
              <w:pStyle w:val="ListParagraph"/>
              <w:widowControl w:val="0"/>
              <w:numPr>
                <w:ilvl w:val="0"/>
                <w:numId w:val="22"/>
              </w:numPr>
              <w:tabs>
                <w:tab w:val="left" w:pos="1111"/>
                <w:tab w:val="left" w:pos="1112"/>
              </w:tabs>
              <w:autoSpaceDE w:val="0"/>
              <w:autoSpaceDN w:val="0"/>
              <w:spacing w:before="121" w:line="276" w:lineRule="auto"/>
              <w:jc w:val="both"/>
              <w:rPr>
                <w:lang w:val="fr-FR"/>
              </w:rPr>
            </w:pPr>
            <w:r w:rsidRPr="002E00A8">
              <w:rPr>
                <w:lang w:val="fr-FR"/>
              </w:rPr>
              <w:t>Innovation dans le développement technologique</w:t>
            </w:r>
          </w:p>
          <w:p w14:paraId="673B83EA" w14:textId="77777777" w:rsidR="000A6C14" w:rsidRPr="002E00A8" w:rsidRDefault="000A6C14" w:rsidP="002503E7">
            <w:pPr>
              <w:pStyle w:val="ListParagraph"/>
              <w:widowControl w:val="0"/>
              <w:numPr>
                <w:ilvl w:val="0"/>
                <w:numId w:val="22"/>
              </w:numPr>
              <w:tabs>
                <w:tab w:val="left" w:pos="1111"/>
                <w:tab w:val="left" w:pos="1112"/>
              </w:tabs>
              <w:autoSpaceDE w:val="0"/>
              <w:autoSpaceDN w:val="0"/>
              <w:spacing w:before="121" w:line="276" w:lineRule="auto"/>
              <w:jc w:val="both"/>
              <w:rPr>
                <w:lang w:val="fr-FR"/>
              </w:rPr>
            </w:pPr>
            <w:r w:rsidRPr="002E00A8">
              <w:rPr>
                <w:lang w:val="fr-FR"/>
              </w:rPr>
              <w:t xml:space="preserve">Innovation dans les services techniques </w:t>
            </w:r>
          </w:p>
          <w:p w14:paraId="71409254" w14:textId="77777777" w:rsidR="000A6C14" w:rsidRPr="002E00A8" w:rsidRDefault="000A6C14" w:rsidP="002503E7">
            <w:pPr>
              <w:pStyle w:val="ListParagraph"/>
              <w:widowControl w:val="0"/>
              <w:numPr>
                <w:ilvl w:val="0"/>
                <w:numId w:val="22"/>
              </w:numPr>
              <w:tabs>
                <w:tab w:val="left" w:pos="1111"/>
                <w:tab w:val="left" w:pos="1112"/>
              </w:tabs>
              <w:autoSpaceDE w:val="0"/>
              <w:autoSpaceDN w:val="0"/>
              <w:spacing w:before="121" w:line="276" w:lineRule="auto"/>
              <w:jc w:val="both"/>
              <w:rPr>
                <w:lang w:val="fr-FR"/>
              </w:rPr>
            </w:pPr>
            <w:r w:rsidRPr="002E00A8">
              <w:rPr>
                <w:lang w:val="fr-FR"/>
              </w:rPr>
              <w:t xml:space="preserve">Innovation dans les services numériques  </w:t>
            </w:r>
          </w:p>
          <w:p w14:paraId="553A970D" w14:textId="77777777" w:rsidR="000A6C14" w:rsidRPr="002E00A8" w:rsidRDefault="000A6C14" w:rsidP="002503E7">
            <w:pPr>
              <w:pStyle w:val="ListParagraph"/>
              <w:widowControl w:val="0"/>
              <w:numPr>
                <w:ilvl w:val="0"/>
                <w:numId w:val="22"/>
              </w:numPr>
              <w:tabs>
                <w:tab w:val="left" w:pos="1111"/>
                <w:tab w:val="left" w:pos="1112"/>
              </w:tabs>
              <w:autoSpaceDE w:val="0"/>
              <w:autoSpaceDN w:val="0"/>
              <w:spacing w:before="121" w:line="276" w:lineRule="auto"/>
              <w:jc w:val="both"/>
              <w:rPr>
                <w:lang w:val="fr-FR"/>
              </w:rPr>
            </w:pPr>
            <w:r w:rsidRPr="002E00A8">
              <w:rPr>
                <w:lang w:val="fr-FR"/>
              </w:rPr>
              <w:t xml:space="preserve">Innovation dans les services aux entreprises (informations sur les marchés et les finances, acheteurs)  </w:t>
            </w:r>
          </w:p>
          <w:p w14:paraId="43C1B559" w14:textId="77777777" w:rsidR="000A6C14" w:rsidRPr="002E00A8" w:rsidRDefault="000A6C14" w:rsidP="002503E7">
            <w:pPr>
              <w:pStyle w:val="ListParagraph"/>
              <w:widowControl w:val="0"/>
              <w:numPr>
                <w:ilvl w:val="0"/>
                <w:numId w:val="22"/>
              </w:numPr>
              <w:tabs>
                <w:tab w:val="left" w:pos="1111"/>
                <w:tab w:val="left" w:pos="1112"/>
              </w:tabs>
              <w:autoSpaceDE w:val="0"/>
              <w:autoSpaceDN w:val="0"/>
              <w:spacing w:before="121" w:line="276" w:lineRule="auto"/>
              <w:jc w:val="both"/>
              <w:rPr>
                <w:lang w:val="fr-FR"/>
              </w:rPr>
            </w:pPr>
            <w:r w:rsidRPr="002E00A8">
              <w:rPr>
                <w:lang w:val="fr-FR"/>
              </w:rPr>
              <w:t xml:space="preserve">Mise à l'échelle d'approches, de technologies et d'innovations fondées sur des données probantes </w:t>
            </w:r>
          </w:p>
          <w:p w14:paraId="7956F92F" w14:textId="77777777" w:rsidR="000A6C14" w:rsidRPr="002E00A8" w:rsidRDefault="000A6C14" w:rsidP="002503E7">
            <w:pPr>
              <w:pStyle w:val="ListParagraph"/>
              <w:widowControl w:val="0"/>
              <w:numPr>
                <w:ilvl w:val="0"/>
                <w:numId w:val="22"/>
              </w:numPr>
              <w:tabs>
                <w:tab w:val="left" w:pos="1111"/>
                <w:tab w:val="left" w:pos="1112"/>
              </w:tabs>
              <w:autoSpaceDE w:val="0"/>
              <w:autoSpaceDN w:val="0"/>
              <w:spacing w:before="121" w:line="276" w:lineRule="auto"/>
              <w:jc w:val="both"/>
              <w:rPr>
                <w:lang w:val="fr-FR"/>
              </w:rPr>
            </w:pPr>
            <w:r w:rsidRPr="002E00A8">
              <w:rPr>
                <w:lang w:val="fr-FR"/>
              </w:rPr>
              <w:t>Consolidation de la base d'approvisionnement</w:t>
            </w:r>
          </w:p>
        </w:tc>
      </w:tr>
    </w:tbl>
    <w:p w14:paraId="2E67A6CC" w14:textId="77777777" w:rsidR="000A6C1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5976B706"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3A5855FE"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lastRenderedPageBreak/>
        <w:t>Il est également important de noter que l’inclusion et l’autonomisation des femmes et des jeunes dans la chaîne de valeur du cajou est un objectif clé du Fonds de subvention de contrepartie MOVE-ComCashew. Les candidats doivent indiquer dans leurs propositions s’il y a des femmes et des jeunes représentés dans la gestion ou la propriété de l’organisation, car cela sera considéré favorablement lors du processus de sélection. Les candidats doivent expliquer clairement comment ils prévoient de s’assurer qu’au moins 50 % des bénéficiaires du projet (par exemple, les participants à la formation, la direction de l’entreprise ou de l’unité commerciale) sont des femmes et des jeunes.</w:t>
      </w:r>
    </w:p>
    <w:p w14:paraId="69E7D1EE"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7D6D7D6F"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6C7213B1"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p>
    <w:p w14:paraId="6F6A5D9E"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E965B07" w14:textId="77777777" w:rsidR="000A6C14" w:rsidRPr="009163C4" w:rsidRDefault="000A6C14" w:rsidP="000A6C14">
      <w:pPr>
        <w:spacing w:after="0" w:line="240" w:lineRule="auto"/>
        <w:jc w:val="both"/>
        <w:textAlignment w:val="baseline"/>
        <w:rPr>
          <w:rFonts w:ascii="Arial" w:hAnsi="Arial" w:cs="Arial"/>
          <w:b/>
          <w:bCs/>
          <w:color w:val="808080"/>
          <w:kern w:val="0"/>
          <w:sz w:val="24"/>
          <w:szCs w:val="24"/>
          <w:lang w:val="fr" w:eastAsia="fr-CI"/>
          <w14:ligatures w14:val="none"/>
        </w:rPr>
      </w:pPr>
      <w:r w:rsidRPr="009163C4">
        <w:rPr>
          <w:rFonts w:ascii="Arial" w:hAnsi="Arial" w:cs="Arial"/>
          <w:b/>
          <w:bCs/>
          <w:color w:val="808080"/>
          <w:kern w:val="0"/>
          <w:sz w:val="24"/>
          <w:szCs w:val="24"/>
          <w:lang w:val="fr" w:eastAsia="fr-CI"/>
          <w14:ligatures w14:val="none"/>
        </w:rPr>
        <w:t xml:space="preserve">Section </w:t>
      </w:r>
      <w:r>
        <w:rPr>
          <w:rFonts w:ascii="Arial" w:hAnsi="Arial" w:cs="Arial"/>
          <w:b/>
          <w:bCs/>
          <w:color w:val="808080"/>
          <w:kern w:val="0"/>
          <w:sz w:val="24"/>
          <w:szCs w:val="24"/>
          <w:lang w:val="fr" w:eastAsia="fr-CI"/>
          <w14:ligatures w14:val="none"/>
        </w:rPr>
        <w:t>5</w:t>
      </w:r>
      <w:r w:rsidRPr="009163C4">
        <w:rPr>
          <w:rFonts w:ascii="Arial" w:hAnsi="Arial" w:cs="Arial"/>
          <w:b/>
          <w:bCs/>
          <w:color w:val="808080"/>
          <w:kern w:val="0"/>
          <w:sz w:val="24"/>
          <w:szCs w:val="24"/>
          <w:lang w:val="fr" w:eastAsia="fr-CI"/>
          <w14:ligatures w14:val="none"/>
        </w:rPr>
        <w:t xml:space="preserve"> : Processus de financement du fonds de contrepartie compétitif</w:t>
      </w:r>
    </w:p>
    <w:p w14:paraId="492EF349" w14:textId="77777777" w:rsidR="000A6C14" w:rsidRPr="009163C4" w:rsidRDefault="000A6C14" w:rsidP="000A6C14">
      <w:pPr>
        <w:spacing w:after="0" w:line="240" w:lineRule="auto"/>
        <w:jc w:val="both"/>
        <w:textAlignment w:val="baseline"/>
        <w:rPr>
          <w:rFonts w:ascii="Arial" w:eastAsia="Times New Roman" w:hAnsi="Arial" w:cs="Arial"/>
          <w:b/>
          <w:bCs/>
          <w:color w:val="808080"/>
          <w:kern w:val="0"/>
          <w:sz w:val="24"/>
          <w:szCs w:val="24"/>
          <w:lang w:eastAsia="fr-CI"/>
          <w14:ligatures w14:val="none"/>
        </w:rPr>
      </w:pPr>
    </w:p>
    <w:p w14:paraId="293805E5"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Organigramme du processus de financement du Fonds de contrepartie</w:t>
      </w:r>
    </w:p>
    <w:p w14:paraId="6546FBE1"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F39D0D6"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noProof/>
          <w:sz w:val="24"/>
          <w:szCs w:val="24"/>
        </w:rPr>
        <w:drawing>
          <wp:inline distT="0" distB="0" distL="0" distR="0" wp14:anchorId="437936D7" wp14:editId="1C39A6E1">
            <wp:extent cx="5759707" cy="3581400"/>
            <wp:effectExtent l="0" t="0" r="0" b="0"/>
            <wp:docPr id="2125817006" name="Picture 212581700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817006" name="Image 1" descr="Une image contenant texte&#10;&#10;Description générée automatique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9675" cy="3587598"/>
                    </a:xfrm>
                    <a:prstGeom prst="rect">
                      <a:avLst/>
                    </a:prstGeom>
                    <a:noFill/>
                    <a:ln>
                      <a:noFill/>
                    </a:ln>
                  </pic:spPr>
                </pic:pic>
              </a:graphicData>
            </a:graphic>
          </wp:inline>
        </w:drawing>
      </w:r>
    </w:p>
    <w:p w14:paraId="180D8360"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975C76D"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Le processus du Fonds de contrepartie commencera par un appel public de notes conceptuelles. Une fois que MOVE-ComCashew aura reçu toutes les notes conceptuelles, elles seront évaluées par un comité d’experts. Les candidats présélectionnés seront ensuite invités à élaborer une proposition technique complète et un budget.</w:t>
      </w:r>
    </w:p>
    <w:p w14:paraId="16707A5D"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Au cours de cette étape, l’équipe technique de MOVE-ComCashew travaillera en étroite collaboration avec les candidats présélectionnés afin de les aider à perfectionner le concept et à s’assurer que la proposition finale répond aux exigences de l’ensemble des critères MGF. Une fois qu’une décision finale a été prise sur les projets qui seront soutenus, les contrats seront alors préparés.</w:t>
      </w:r>
    </w:p>
    <w:p w14:paraId="74130C7C" w14:textId="77777777" w:rsidR="000A6C14" w:rsidRPr="009163C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 xml:space="preserve">Le </w:t>
      </w:r>
      <w:proofErr w:type="gramStart"/>
      <w:r w:rsidRPr="009163C4">
        <w:rPr>
          <w:rFonts w:ascii="Arial" w:hAnsi="Arial" w:cs="Arial"/>
          <w:kern w:val="0"/>
          <w:sz w:val="24"/>
          <w:szCs w:val="24"/>
          <w:lang w:val="fr" w:eastAsia="fr-CI"/>
          <w14:ligatures w14:val="none"/>
        </w:rPr>
        <w:t>Fonds  de</w:t>
      </w:r>
      <w:proofErr w:type="gramEnd"/>
      <w:r w:rsidRPr="009163C4">
        <w:rPr>
          <w:rFonts w:ascii="Arial" w:hAnsi="Arial" w:cs="Arial"/>
          <w:kern w:val="0"/>
          <w:sz w:val="24"/>
          <w:szCs w:val="24"/>
          <w:lang w:val="fr" w:eastAsia="fr-CI"/>
          <w14:ligatures w14:val="none"/>
        </w:rPr>
        <w:t xml:space="preserve"> contrepartie sera géré par MOVE-ComCashew. Il y aura un comité d’experts du Fonds de subventions de contrepartie composé de personnes </w:t>
      </w:r>
      <w:r w:rsidRPr="009163C4">
        <w:rPr>
          <w:rFonts w:ascii="Arial" w:hAnsi="Arial" w:cs="Arial"/>
          <w:kern w:val="0"/>
          <w:sz w:val="24"/>
          <w:szCs w:val="24"/>
          <w:lang w:val="fr" w:eastAsia="fr-CI"/>
          <w14:ligatures w14:val="none"/>
        </w:rPr>
        <w:lastRenderedPageBreak/>
        <w:t>sélectionnées sur la base de profils spécifiques (validés par les donateurs) d’institutions partenaires ciblées dans les pays respectifs qui évalueront les notes conceptuelles ainsi que les propositions complètes basées sur des critères de notation pré-validés. La décision finale concernant les projets à financer serait prise par le Conseil du Fonds de subvention et de contrepartie, composé des OACPS, de l’Union européenne, de l’Alliance africaine pour le cajou et de la GIZ</w:t>
      </w:r>
    </w:p>
    <w:p w14:paraId="19D2F4EC" w14:textId="77777777" w:rsidR="000A6C14" w:rsidRPr="009163C4" w:rsidRDefault="000A6C14" w:rsidP="000A6C14">
      <w:pPr>
        <w:spacing w:after="0" w:line="240" w:lineRule="auto"/>
        <w:textAlignment w:val="baseline"/>
        <w:rPr>
          <w:rFonts w:ascii="Arial" w:eastAsia="Times New Roman" w:hAnsi="Arial" w:cs="Arial"/>
          <w:b/>
          <w:bCs/>
          <w:color w:val="2F5496"/>
          <w:kern w:val="0"/>
          <w:sz w:val="24"/>
          <w:szCs w:val="24"/>
          <w:lang w:eastAsia="fr-CI"/>
          <w14:ligatures w14:val="none"/>
        </w:rPr>
      </w:pPr>
      <w:r w:rsidRPr="009163C4">
        <w:rPr>
          <w:rFonts w:ascii="Arial" w:hAnsi="Arial" w:cs="Arial"/>
          <w:b/>
          <w:bCs/>
          <w:color w:val="2F5496"/>
          <w:kern w:val="0"/>
          <w:sz w:val="24"/>
          <w:szCs w:val="24"/>
          <w:lang w:val="fr" w:eastAsia="fr-CI"/>
          <w14:ligatures w14:val="none"/>
        </w:rPr>
        <w:t>Processus de candidature</w:t>
      </w:r>
    </w:p>
    <w:p w14:paraId="4D0ACF96" w14:textId="77777777" w:rsidR="000A6C14" w:rsidRPr="009163C4" w:rsidRDefault="000A6C14" w:rsidP="000A6C14">
      <w:pPr>
        <w:spacing w:after="0" w:line="240" w:lineRule="auto"/>
        <w:ind w:right="60"/>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32CA7CC4" w14:textId="77777777" w:rsidR="000A6C14" w:rsidRPr="00887347" w:rsidRDefault="000A6C14" w:rsidP="000A6C14">
      <w:pPr>
        <w:tabs>
          <w:tab w:val="left" w:pos="1080"/>
        </w:tabs>
        <w:spacing w:line="240" w:lineRule="auto"/>
        <w:ind w:left="720" w:hanging="360"/>
        <w:textAlignment w:val="baseline"/>
        <w:rPr>
          <w:rFonts w:eastAsia="Times New Roman"/>
          <w:sz w:val="24"/>
          <w:szCs w:val="24"/>
          <w:lang w:eastAsia="fr-CI"/>
        </w:rPr>
      </w:pPr>
      <w:r>
        <w:rPr>
          <w:rFonts w:ascii="Arial" w:hAnsi="Arial" w:cs="Arial"/>
          <w:b/>
          <w:bCs/>
          <w:color w:val="000000"/>
          <w:sz w:val="24"/>
          <w:szCs w:val="24"/>
          <w:lang w:val="fr" w:eastAsia="fr-CI"/>
        </w:rPr>
        <w:t xml:space="preserve">1. </w:t>
      </w:r>
      <w:r w:rsidRPr="00887347">
        <w:rPr>
          <w:rFonts w:ascii="Arial" w:hAnsi="Arial" w:cs="Arial"/>
          <w:b/>
          <w:bCs/>
          <w:color w:val="000000"/>
          <w:sz w:val="24"/>
          <w:szCs w:val="24"/>
          <w:lang w:val="fr" w:eastAsia="fr-CI"/>
        </w:rPr>
        <w:t>Programme de préparation</w:t>
      </w:r>
      <w:r w:rsidRPr="00887347">
        <w:rPr>
          <w:b/>
          <w:bCs/>
          <w:color w:val="000000"/>
          <w:sz w:val="24"/>
          <w:szCs w:val="24"/>
          <w:lang w:val="fr" w:eastAsia="fr-CI"/>
        </w:rPr>
        <w:t xml:space="preserve"> :</w:t>
      </w:r>
      <w:r w:rsidRPr="00887347">
        <w:rPr>
          <w:color w:val="000000"/>
          <w:sz w:val="24"/>
          <w:szCs w:val="24"/>
          <w:lang w:val="fr" w:eastAsia="fr-CI"/>
        </w:rPr>
        <w:t xml:space="preserve"> </w:t>
      </w:r>
      <w:r w:rsidRPr="00887347">
        <w:rPr>
          <w:color w:val="000000" w:themeColor="text1"/>
          <w:sz w:val="24"/>
          <w:szCs w:val="24"/>
          <w:lang w:val="fr" w:eastAsia="fr-CI"/>
        </w:rPr>
        <w:t>Tous les documents</w:t>
      </w:r>
      <w:r w:rsidRPr="00887347">
        <w:rPr>
          <w:color w:val="000000"/>
          <w:sz w:val="24"/>
          <w:szCs w:val="24"/>
          <w:lang w:val="fr" w:eastAsia="fr-CI"/>
        </w:rPr>
        <w:t>, directives concernant la postulation pour du fonds de contrepartie et l’ensemble du processus doivent être disponibles sur les sites Web de MOVE ComCashew(</w:t>
      </w:r>
      <w:hyperlink r:id="rId29" w:history="1">
        <w:r w:rsidRPr="00887347">
          <w:rPr>
            <w:rStyle w:val="Hyperlink"/>
            <w:rFonts w:ascii="Arial" w:hAnsi="Arial" w:cs="Arial"/>
            <w:kern w:val="0"/>
            <w:sz w:val="24"/>
            <w:szCs w:val="24"/>
            <w:lang w:val="fr" w:eastAsia="fr-CI"/>
            <w14:ligatures w14:val="none"/>
          </w:rPr>
          <w:t>www.cashew.org</w:t>
        </w:r>
      </w:hyperlink>
      <w:r w:rsidRPr="00887347">
        <w:rPr>
          <w:color w:val="000000"/>
          <w:sz w:val="24"/>
          <w:szCs w:val="24"/>
          <w:lang w:val="fr" w:eastAsia="fr-CI"/>
        </w:rPr>
        <w:t xml:space="preserve"> )et des partenaires (exemple </w:t>
      </w:r>
      <w:r w:rsidRPr="00887347">
        <w:rPr>
          <w:color w:val="000000" w:themeColor="text1"/>
          <w:sz w:val="24"/>
          <w:szCs w:val="24"/>
        </w:rPr>
        <w:t xml:space="preserve">OEACP </w:t>
      </w:r>
      <w:hyperlink r:id="rId30">
        <w:r w:rsidRPr="00887347">
          <w:rPr>
            <w:rStyle w:val="Hyperlink"/>
            <w:rFonts w:ascii="Arial" w:hAnsi="Arial" w:cs="Arial"/>
            <w:sz w:val="24"/>
            <w:szCs w:val="24"/>
          </w:rPr>
          <w:t>Homepage - OACPS</w:t>
        </w:r>
      </w:hyperlink>
      <w:r w:rsidRPr="00887347">
        <w:rPr>
          <w:color w:val="000000" w:themeColor="text1"/>
          <w:sz w:val="24"/>
          <w:szCs w:val="24"/>
        </w:rPr>
        <w:t>,</w:t>
      </w:r>
      <w:r w:rsidRPr="00887347" w:rsidDel="00234EC4">
        <w:rPr>
          <w:color w:val="000000" w:themeColor="text1"/>
          <w:sz w:val="24"/>
          <w:szCs w:val="24"/>
        </w:rPr>
        <w:t xml:space="preserve"> </w:t>
      </w:r>
      <w:r w:rsidRPr="00887347">
        <w:rPr>
          <w:color w:val="000000" w:themeColor="text1"/>
          <w:sz w:val="24"/>
          <w:szCs w:val="24"/>
        </w:rPr>
        <w:t xml:space="preserve">Consultative International Cashew Council </w:t>
      </w:r>
      <w:hyperlink r:id="rId31">
        <w:r w:rsidRPr="00887347">
          <w:rPr>
            <w:rStyle w:val="Hyperlink"/>
            <w:rFonts w:ascii="Arial" w:hAnsi="Arial" w:cs="Arial"/>
            <w:sz w:val="24"/>
            <w:szCs w:val="24"/>
          </w:rPr>
          <w:t>Accueil (ciccashew.org)</w:t>
        </w:r>
      </w:hyperlink>
      <w:r w:rsidRPr="00887347">
        <w:rPr>
          <w:color w:val="000000" w:themeColor="text1"/>
          <w:sz w:val="24"/>
          <w:szCs w:val="24"/>
        </w:rPr>
        <w:t xml:space="preserve">, and </w:t>
      </w:r>
      <w:proofErr w:type="spellStart"/>
      <w:r w:rsidRPr="00887347">
        <w:rPr>
          <w:color w:val="000000" w:themeColor="text1"/>
          <w:sz w:val="24"/>
          <w:szCs w:val="24"/>
        </w:rPr>
        <w:t>African</w:t>
      </w:r>
      <w:proofErr w:type="spellEnd"/>
      <w:r w:rsidRPr="00887347">
        <w:rPr>
          <w:color w:val="000000" w:themeColor="text1"/>
          <w:sz w:val="24"/>
          <w:szCs w:val="24"/>
        </w:rPr>
        <w:t xml:space="preserve"> Cashew Alliance </w:t>
      </w:r>
      <w:hyperlink r:id="rId32">
        <w:r w:rsidRPr="00887347">
          <w:rPr>
            <w:rStyle w:val="Hyperlink"/>
            <w:rFonts w:ascii="Arial" w:hAnsi="Arial" w:cs="Arial"/>
            <w:sz w:val="24"/>
            <w:szCs w:val="24"/>
          </w:rPr>
          <w:t>African Cashew Alliance</w:t>
        </w:r>
      </w:hyperlink>
      <w:r w:rsidRPr="00887347">
        <w:rPr>
          <w:color w:val="000000" w:themeColor="text1"/>
          <w:sz w:val="24"/>
          <w:szCs w:val="24"/>
        </w:rPr>
        <w:t xml:space="preserve">) </w:t>
      </w:r>
      <w:r w:rsidRPr="00887347">
        <w:rPr>
          <w:color w:val="000000"/>
          <w:sz w:val="24"/>
          <w:szCs w:val="24"/>
          <w:lang w:val="fr" w:eastAsia="fr-CI"/>
        </w:rPr>
        <w:t xml:space="preserve">avant le lancement de l’appel. Le matériel de formation tel que l’école de commerce agricole (FBS) doit également être mis à la disposition des candidats potentiels du Fonds de subvention de contrepartie. En outre, des webinaires sur le processus de candidature doivent être organisés avant le premier appel de notes conceptuelles. Les partenaires auront la possibilité de poser toutes les questions en contactant MOVE ComCashew via </w:t>
      </w:r>
      <w:hyperlink r:id="rId33" w:history="1">
        <w:r w:rsidRPr="00887347">
          <w:rPr>
            <w:rStyle w:val="Hyperlink"/>
            <w:rFonts w:ascii="Arial" w:hAnsi="Arial" w:cs="Arial"/>
            <w:kern w:val="0"/>
            <w:sz w:val="24"/>
            <w:szCs w:val="24"/>
            <w:lang w:val="fr" w:eastAsia="fr-CI"/>
            <w14:ligatures w14:val="none"/>
          </w:rPr>
          <w:t>cashew@giz.de</w:t>
        </w:r>
      </w:hyperlink>
      <w:r w:rsidRPr="00887347">
        <w:rPr>
          <w:color w:val="000000"/>
          <w:sz w:val="24"/>
          <w:szCs w:val="24"/>
          <w:lang w:val="fr" w:eastAsia="fr-CI"/>
        </w:rPr>
        <w:t xml:space="preserve">  </w:t>
      </w:r>
      <w:hyperlink r:id="rId34" w:tgtFrame="_blank" w:history="1">
        <w:r>
          <w:rPr>
            <w:rStyle w:val="Hyperlink"/>
          </w:rPr>
          <w:t>mailto:cashew@giz.de</w:t>
        </w:r>
      </w:hyperlink>
      <w:r w:rsidRPr="00887347">
        <w:rPr>
          <w:color w:val="000000"/>
          <w:sz w:val="24"/>
          <w:szCs w:val="24"/>
          <w:lang w:val="fr" w:eastAsia="fr-CI"/>
        </w:rPr>
        <w:t xml:space="preserve"> avant le lancement de l’appel.</w:t>
      </w:r>
    </w:p>
    <w:p w14:paraId="1D214BCA"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1653D08" w14:textId="77777777" w:rsidR="000A6C14" w:rsidRPr="000C7125" w:rsidRDefault="000A6C14" w:rsidP="002503E7">
      <w:pPr>
        <w:pStyle w:val="ListParagraph"/>
        <w:widowControl w:val="0"/>
        <w:numPr>
          <w:ilvl w:val="0"/>
          <w:numId w:val="1"/>
        </w:numPr>
        <w:tabs>
          <w:tab w:val="left" w:pos="1111"/>
          <w:tab w:val="left" w:pos="1112"/>
        </w:tabs>
        <w:autoSpaceDE w:val="0"/>
        <w:autoSpaceDN w:val="0"/>
        <w:spacing w:before="121" w:after="0" w:line="240" w:lineRule="auto"/>
        <w:jc w:val="both"/>
        <w:textAlignment w:val="baseline"/>
        <w:rPr>
          <w:rFonts w:eastAsia="Times New Roman"/>
          <w:sz w:val="24"/>
          <w:szCs w:val="24"/>
          <w:lang w:val="fr-FR" w:eastAsia="fr-CI"/>
        </w:rPr>
      </w:pPr>
      <w:r w:rsidRPr="00C24B49">
        <w:rPr>
          <w:b/>
          <w:bCs/>
          <w:sz w:val="24"/>
          <w:szCs w:val="24"/>
          <w:lang w:val="fr" w:eastAsia="fr-CI"/>
        </w:rPr>
        <w:t>L’appel de notes conceptuelles</w:t>
      </w:r>
      <w:r w:rsidRPr="00C24B49">
        <w:rPr>
          <w:sz w:val="24"/>
          <w:szCs w:val="24"/>
          <w:lang w:val="fr" w:eastAsia="fr-CI"/>
        </w:rPr>
        <w:t xml:space="preserve"> sera officiellement annoncé et diffusé par un certain nombre de canaux afin d’en maximiser la portée. Il sera publié en ligne, en s’appuyant sur les ressources accessibles du programme de préparation, y compris les modèles standardisés et les directives fournies. Les partenaires potentiels et les consortiums ont la possibilité de soumettre des notes conceptuelles qui doivent toutefois s’aligner sur les critères de qualité et d’éligibilité convenus en fonction de la chaîne de valeur du cajou.  Ceux qui </w:t>
      </w:r>
      <w:r w:rsidRPr="00C24B49">
        <w:rPr>
          <w:color w:val="000000"/>
          <w:sz w:val="24"/>
          <w:szCs w:val="24"/>
          <w:lang w:val="fr" w:eastAsia="fr-CI"/>
        </w:rPr>
        <w:t xml:space="preserve">sont éligibles à la subvention de contrepartie </w:t>
      </w:r>
      <w:proofErr w:type="gramStart"/>
      <w:r w:rsidRPr="00C24B49">
        <w:rPr>
          <w:color w:val="000000"/>
          <w:sz w:val="24"/>
          <w:szCs w:val="24"/>
          <w:lang w:val="fr" w:eastAsia="fr-CI"/>
        </w:rPr>
        <w:t>( MFG</w:t>
      </w:r>
      <w:proofErr w:type="gramEnd"/>
      <w:r w:rsidRPr="00C24B49">
        <w:rPr>
          <w:color w:val="000000"/>
          <w:sz w:val="24"/>
          <w:szCs w:val="24"/>
          <w:lang w:val="fr" w:eastAsia="fr-CI"/>
        </w:rPr>
        <w:t xml:space="preserve">) sont les entreprises privées, les organisations professionnelles de </w:t>
      </w:r>
      <w:proofErr w:type="spellStart"/>
      <w:r w:rsidRPr="00C24B49">
        <w:rPr>
          <w:color w:val="000000"/>
          <w:sz w:val="24"/>
          <w:szCs w:val="24"/>
          <w:lang w:val="fr" w:eastAsia="fr-CI"/>
        </w:rPr>
        <w:t>MSME's</w:t>
      </w:r>
      <w:proofErr w:type="spellEnd"/>
      <w:r w:rsidRPr="00C24B49">
        <w:rPr>
          <w:color w:val="000000"/>
          <w:sz w:val="24"/>
          <w:szCs w:val="24"/>
          <w:lang w:val="fr" w:eastAsia="fr-CI"/>
        </w:rPr>
        <w:t xml:space="preserve"> dans les secteurs amont et aval de la CV de la filière anacarde. D'autres prestataires de services qualifiés tels que les institutions d'enseignement et de formation techniques et professionnels agricoles (ATVET), les agences de diffusion et/ou les entités de recherche peuvent être proposés par les consortiums en tant que prestataires de services</w:t>
      </w:r>
      <w:r w:rsidRPr="00C24B49">
        <w:rPr>
          <w:sz w:val="24"/>
          <w:szCs w:val="24"/>
          <w:lang w:val="fr"/>
        </w:rPr>
        <w:t>.</w:t>
      </w:r>
    </w:p>
    <w:p w14:paraId="43E31BAC" w14:textId="77777777" w:rsidR="000A6C14" w:rsidRPr="009163C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color w:val="000000"/>
          <w:kern w:val="0"/>
          <w:sz w:val="24"/>
          <w:szCs w:val="24"/>
          <w:lang w:eastAsia="fr-CI"/>
          <w14:ligatures w14:val="none"/>
        </w:rPr>
        <w:t> </w:t>
      </w:r>
    </w:p>
    <w:p w14:paraId="7AA95F10" w14:textId="77777777" w:rsidR="000A6C14" w:rsidRPr="009163C4" w:rsidRDefault="000A6C14" w:rsidP="000A6C14">
      <w:pPr>
        <w:spacing w:after="0" w:line="240" w:lineRule="auto"/>
        <w:ind w:left="720"/>
        <w:textAlignment w:val="baseline"/>
        <w:rPr>
          <w:rFonts w:ascii="Arial" w:hAnsi="Arial" w:cs="Arial"/>
          <w:color w:val="00B0F0"/>
          <w:kern w:val="0"/>
          <w:sz w:val="24"/>
          <w:szCs w:val="24"/>
          <w:lang w:val="fr" w:eastAsia="fr-CI"/>
          <w14:ligatures w14:val="none"/>
        </w:rPr>
      </w:pPr>
      <w:r w:rsidRPr="009163C4">
        <w:rPr>
          <w:rFonts w:ascii="Arial" w:hAnsi="Arial" w:cs="Arial"/>
          <w:kern w:val="0"/>
          <w:sz w:val="24"/>
          <w:szCs w:val="24"/>
          <w:lang w:val="fr" w:eastAsia="fr-CI"/>
          <w14:ligatures w14:val="none"/>
        </w:rPr>
        <w:t xml:space="preserve">La note conceptuelle/description brève du projet fournira des informations sur l’intérêt des partenaires potentiels, avec des détails sur le partenaire/consortium du Fonds de contrepartie et les interventions proposées. Les candidats doivent envoyer une note conceptuelle / description brève du projet dûment remplie, pour laquelle un modèle est fourni (voir annexe 1) avant le </w:t>
      </w:r>
      <w:r>
        <w:rPr>
          <w:rFonts w:ascii="Arial" w:hAnsi="Arial" w:cs="Arial"/>
          <w:kern w:val="0"/>
          <w:sz w:val="24"/>
          <w:szCs w:val="24"/>
          <w:lang w:val="fr" w:eastAsia="fr-CI"/>
          <w14:ligatures w14:val="none"/>
        </w:rPr>
        <w:t>17</w:t>
      </w:r>
      <w:r w:rsidRPr="009163C4">
        <w:rPr>
          <w:rFonts w:ascii="Arial" w:hAnsi="Arial" w:cs="Arial"/>
          <w:kern w:val="0"/>
          <w:sz w:val="24"/>
          <w:szCs w:val="24"/>
          <w:lang w:val="fr" w:eastAsia="fr-CI"/>
          <w14:ligatures w14:val="none"/>
        </w:rPr>
        <w:t xml:space="preserve"> juillet 2023 afin d'être pris en compte pour un financement à travers le Fonds de contrepartie. Une lettre d'intention signée est également attendue de la part de tous les </w:t>
      </w:r>
      <w:r w:rsidRPr="009163C4">
        <w:rPr>
          <w:rFonts w:ascii="Arial" w:hAnsi="Arial" w:cs="Arial"/>
          <w:color w:val="000000" w:themeColor="text1"/>
          <w:kern w:val="0"/>
          <w:sz w:val="24"/>
          <w:szCs w:val="24"/>
          <w:lang w:val="fr" w:eastAsia="fr-CI"/>
          <w14:ligatures w14:val="none"/>
        </w:rPr>
        <w:t>partenaires du consortium (voir annexe 2) lors de la soumission de la note conceptuelle.</w:t>
      </w:r>
    </w:p>
    <w:p w14:paraId="4EB0D0E3" w14:textId="77777777" w:rsidR="000A6C1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color w:val="000000"/>
          <w:kern w:val="0"/>
          <w:sz w:val="24"/>
          <w:szCs w:val="24"/>
          <w:lang w:eastAsia="fr-CI"/>
          <w14:ligatures w14:val="none"/>
        </w:rPr>
        <w:t> </w:t>
      </w:r>
    </w:p>
    <w:p w14:paraId="704A79D7" w14:textId="77777777" w:rsidR="000A6C14" w:rsidRPr="000C7125" w:rsidRDefault="000A6C14" w:rsidP="002503E7">
      <w:pPr>
        <w:pStyle w:val="ListParagraph"/>
        <w:widowControl w:val="0"/>
        <w:numPr>
          <w:ilvl w:val="0"/>
          <w:numId w:val="1"/>
        </w:numPr>
        <w:tabs>
          <w:tab w:val="clear" w:pos="720"/>
          <w:tab w:val="num" w:pos="360"/>
          <w:tab w:val="left" w:pos="1111"/>
          <w:tab w:val="left" w:pos="1112"/>
        </w:tabs>
        <w:autoSpaceDE w:val="0"/>
        <w:autoSpaceDN w:val="0"/>
        <w:spacing w:before="121" w:after="0" w:line="240" w:lineRule="auto"/>
        <w:jc w:val="both"/>
        <w:textAlignment w:val="baseline"/>
        <w:rPr>
          <w:rFonts w:eastAsia="Times New Roman"/>
          <w:sz w:val="24"/>
          <w:szCs w:val="24"/>
          <w:lang w:val="fr-FR" w:eastAsia="fr-CI"/>
        </w:rPr>
      </w:pPr>
      <w:r w:rsidRPr="00C24B49">
        <w:rPr>
          <w:b/>
          <w:bCs/>
          <w:sz w:val="24"/>
          <w:szCs w:val="24"/>
          <w:lang w:val="fr" w:eastAsia="fr-CI"/>
        </w:rPr>
        <w:t xml:space="preserve">Évaluation des notes conceptuelles </w:t>
      </w:r>
      <w:r w:rsidRPr="00C24B49">
        <w:rPr>
          <w:color w:val="000000"/>
          <w:sz w:val="24"/>
          <w:szCs w:val="24"/>
          <w:lang w:val="fr" w:eastAsia="fr-CI"/>
        </w:rPr>
        <w:t xml:space="preserve">: L’évaluation des notes conceptuelles reçues des candidats doit être effectuée par un comité d’experts désigné. Le Comité d’experts est un groupe d’experts sélectionnés dans le secteur du cajou. Grâce à leur longue </w:t>
      </w:r>
      <w:r w:rsidRPr="00C24B49">
        <w:rPr>
          <w:color w:val="000000"/>
          <w:sz w:val="24"/>
          <w:szCs w:val="24"/>
          <w:lang w:val="fr" w:eastAsia="fr-CI"/>
        </w:rPr>
        <w:lastRenderedPageBreak/>
        <w:t>expérience et à leur expertise dans le secteur du cajou, les membres du comité d’experts sont bien reconnus et approuvés par l’industrie avec la capacité de noter équitablement les propositions des candidats pour ce fonds de subvention de contrepartie. Les membres du comité d’experts sont des experts de plusieurs institutions telles que ;</w:t>
      </w:r>
      <w:r w:rsidRPr="00C24B49">
        <w:rPr>
          <w:sz w:val="24"/>
          <w:szCs w:val="24"/>
          <w:lang w:val="fr"/>
        </w:rPr>
        <w:t xml:space="preserve"> </w:t>
      </w:r>
      <w:r w:rsidRPr="00C24B49">
        <w:rPr>
          <w:sz w:val="24"/>
          <w:szCs w:val="24"/>
          <w:lang w:val="fr" w:eastAsia="fr-CI"/>
        </w:rPr>
        <w:t xml:space="preserve">Le Conseil consultatif international du cajou (CICC), le Conseil du Coton et de l’Anacarde (CCA), </w:t>
      </w:r>
      <w:r w:rsidRPr="00C24B49">
        <w:rPr>
          <w:color w:val="000000"/>
          <w:sz w:val="24"/>
          <w:szCs w:val="24"/>
          <w:lang w:val="fr" w:eastAsia="fr-CI"/>
        </w:rPr>
        <w:t>les ministères du commerce et de l’industrie des pays ACP ciblés, des personnes expérimentées non affiliées aux candidats à évaluer, etc.</w:t>
      </w:r>
    </w:p>
    <w:p w14:paraId="74312417" w14:textId="77777777" w:rsidR="000A6C14" w:rsidRDefault="000A6C14" w:rsidP="000A6C14">
      <w:pPr>
        <w:spacing w:after="0" w:line="240" w:lineRule="auto"/>
        <w:jc w:val="both"/>
        <w:textAlignment w:val="baseline"/>
        <w:rPr>
          <w:rFonts w:ascii="Arial" w:hAnsi="Arial" w:cs="Arial"/>
          <w:color w:val="000000"/>
          <w:kern w:val="0"/>
          <w:sz w:val="24"/>
          <w:szCs w:val="24"/>
          <w:lang w:val="fr" w:eastAsia="fr-CI"/>
          <w14:ligatures w14:val="none"/>
        </w:rPr>
      </w:pPr>
    </w:p>
    <w:p w14:paraId="1C427148"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color w:val="000000"/>
          <w:kern w:val="0"/>
          <w:sz w:val="24"/>
          <w:szCs w:val="24"/>
          <w:lang w:val="fr" w:eastAsia="fr-CI"/>
          <w14:ligatures w14:val="none"/>
        </w:rPr>
        <w:t>Les membres du comité d’experts devraient avoir : une bonne connaissance et expertise de la chaîne de valeur du cajou, une bonne compréhension des liens de la chaîne d’approvisionnement et de la résilience environnementale du cajou.</w:t>
      </w:r>
    </w:p>
    <w:p w14:paraId="3C00926D"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color w:val="000000"/>
          <w:kern w:val="0"/>
          <w:sz w:val="24"/>
          <w:szCs w:val="24"/>
          <w:lang w:val="fr" w:eastAsia="fr-CI"/>
          <w14:ligatures w14:val="none"/>
        </w:rPr>
        <w:t xml:space="preserve">Les systèmes de notation et les protocoles d’évaluation sont préparés par MOVE ComCashew et validés par l’UE et l’OEACP et d’autres partenaires stratégiques / politiques. Seules les notes conceptuelles à score élevé seront sélectionnées et entreront dans la deuxième phase du programme de préparation pour l’élaboration de la proposition complète du projet. </w:t>
      </w:r>
      <w:r w:rsidRPr="009163C4">
        <w:rPr>
          <w:rFonts w:ascii="Arial" w:hAnsi="Arial" w:cs="Arial"/>
          <w:kern w:val="0"/>
          <w:sz w:val="24"/>
          <w:szCs w:val="24"/>
          <w:lang w:val="fr" w:eastAsia="fr-CI"/>
          <w14:ligatures w14:val="none"/>
        </w:rPr>
        <w:t>Le comité d’experts examinera toutes les notes conceptuelles soumises et attribuera une note globale en fonction de critères techniques. Par exemple, il sera évalué dans quelle mesure chaque projet proposé répond aux principales faiblesses de la chaîne de valeur du cajou. Afin de maximiser les chances que leur projet proposé soit présélectionné, les candidats sont encouragés à lire attentivement ces directrices et à fournir des informations détaillées au besoin dans le modèle de note conceptuelle.</w:t>
      </w:r>
    </w:p>
    <w:p w14:paraId="7CFE2D12" w14:textId="77777777" w:rsidR="000A6C14" w:rsidRDefault="000A6C14" w:rsidP="000A6C14">
      <w:pPr>
        <w:spacing w:after="0" w:line="240" w:lineRule="auto"/>
        <w:ind w:left="720"/>
        <w:jc w:val="both"/>
        <w:textAlignment w:val="baseline"/>
        <w:rPr>
          <w:rFonts w:ascii="Arial" w:hAnsi="Arial" w:cs="Arial"/>
          <w:kern w:val="0"/>
          <w:sz w:val="24"/>
          <w:szCs w:val="24"/>
          <w:lang w:val="fr" w:eastAsia="fr-CI"/>
          <w14:ligatures w14:val="none"/>
        </w:rPr>
      </w:pPr>
    </w:p>
    <w:p w14:paraId="3E1404B3" w14:textId="77777777" w:rsidR="000A6C1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Pr>
          <w:rFonts w:ascii="Arial" w:eastAsia="Times New Roman" w:hAnsi="Arial" w:cs="Arial"/>
          <w:kern w:val="0"/>
          <w:sz w:val="24"/>
          <w:szCs w:val="24"/>
          <w:lang w:eastAsia="fr-CI"/>
          <w14:ligatures w14:val="none"/>
        </w:rPr>
        <w:t xml:space="preserve"> </w:t>
      </w:r>
      <w:r w:rsidRPr="00B374E1">
        <w:rPr>
          <w:rFonts w:ascii="Arial" w:eastAsia="Times New Roman" w:hAnsi="Arial" w:cs="Arial"/>
          <w:kern w:val="0"/>
          <w:sz w:val="24"/>
          <w:szCs w:val="24"/>
          <w:lang w:eastAsia="fr-CI"/>
          <w14:ligatures w14:val="none"/>
        </w:rPr>
        <w:t xml:space="preserve">Les notes conceptuelles seront évaluées sur la base des critères </w:t>
      </w:r>
      <w:proofErr w:type="gramStart"/>
      <w:r w:rsidRPr="00B374E1">
        <w:rPr>
          <w:rFonts w:ascii="Arial" w:eastAsia="Times New Roman" w:hAnsi="Arial" w:cs="Arial"/>
          <w:kern w:val="0"/>
          <w:sz w:val="24"/>
          <w:szCs w:val="24"/>
          <w:lang w:eastAsia="fr-CI"/>
          <w14:ligatures w14:val="none"/>
        </w:rPr>
        <w:t xml:space="preserve">suivants, </w:t>
      </w:r>
      <w:r>
        <w:rPr>
          <w:rFonts w:ascii="Arial" w:eastAsia="Times New Roman" w:hAnsi="Arial" w:cs="Arial"/>
          <w:kern w:val="0"/>
          <w:sz w:val="24"/>
          <w:szCs w:val="24"/>
          <w:lang w:eastAsia="fr-CI"/>
          <w14:ligatures w14:val="none"/>
        </w:rPr>
        <w:t xml:space="preserve">  </w:t>
      </w:r>
      <w:proofErr w:type="gramEnd"/>
      <w:r>
        <w:rPr>
          <w:rFonts w:ascii="Arial" w:eastAsia="Times New Roman" w:hAnsi="Arial" w:cs="Arial"/>
          <w:kern w:val="0"/>
          <w:sz w:val="24"/>
          <w:szCs w:val="24"/>
          <w:lang w:eastAsia="fr-CI"/>
          <w14:ligatures w14:val="none"/>
        </w:rPr>
        <w:t xml:space="preserve">   </w:t>
      </w:r>
      <w:r w:rsidRPr="00B374E1">
        <w:rPr>
          <w:rFonts w:ascii="Arial" w:eastAsia="Times New Roman" w:hAnsi="Arial" w:cs="Arial"/>
          <w:kern w:val="0"/>
          <w:sz w:val="24"/>
          <w:szCs w:val="24"/>
          <w:lang w:eastAsia="fr-CI"/>
          <w14:ligatures w14:val="none"/>
        </w:rPr>
        <w:t>conformément aux informations requises dans le modèle de note conceptuelle :</w:t>
      </w:r>
    </w:p>
    <w:p w14:paraId="210515EE" w14:textId="77777777" w:rsidR="000A6C14" w:rsidRDefault="000A6C14" w:rsidP="000A6C14">
      <w:pPr>
        <w:spacing w:after="0" w:line="240" w:lineRule="auto"/>
        <w:ind w:left="720"/>
        <w:jc w:val="both"/>
        <w:textAlignment w:val="baseline"/>
        <w:rPr>
          <w:noProof/>
        </w:rPr>
      </w:pPr>
    </w:p>
    <w:p w14:paraId="5B270933" w14:textId="77777777" w:rsidR="000A6C14" w:rsidRDefault="000A6C14" w:rsidP="000A6C14">
      <w:pPr>
        <w:spacing w:after="0" w:line="240" w:lineRule="auto"/>
        <w:ind w:left="720"/>
        <w:jc w:val="both"/>
        <w:textAlignment w:val="baseline"/>
        <w:rPr>
          <w:noProof/>
        </w:rPr>
      </w:pPr>
    </w:p>
    <w:p w14:paraId="0398DD25" w14:textId="77777777" w:rsidR="000A6C14" w:rsidRDefault="000A6C14" w:rsidP="000A6C14">
      <w:pPr>
        <w:spacing w:after="0" w:line="240" w:lineRule="auto"/>
        <w:ind w:left="720"/>
        <w:jc w:val="both"/>
        <w:textAlignment w:val="baseline"/>
        <w:rPr>
          <w:noProof/>
        </w:rPr>
      </w:pPr>
      <w:r>
        <w:rPr>
          <w:noProof/>
        </w:rPr>
        <w:drawing>
          <wp:anchor distT="0" distB="0" distL="114300" distR="114300" simplePos="0" relativeHeight="251659264" behindDoc="1" locked="0" layoutInCell="1" allowOverlap="1" wp14:anchorId="6AC3D83B" wp14:editId="764B4F1C">
            <wp:simplePos x="0" y="0"/>
            <wp:positionH relativeFrom="column">
              <wp:posOffset>-366395</wp:posOffset>
            </wp:positionH>
            <wp:positionV relativeFrom="paragraph">
              <wp:posOffset>306070</wp:posOffset>
            </wp:positionV>
            <wp:extent cx="6548120" cy="3644900"/>
            <wp:effectExtent l="0" t="0" r="5080" b="12700"/>
            <wp:wrapTight wrapText="bothSides">
              <wp:wrapPolygon edited="0">
                <wp:start x="0" y="0"/>
                <wp:lineTo x="0" y="21562"/>
                <wp:lineTo x="21554" y="21562"/>
                <wp:lineTo x="21554"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1A689256" w14:textId="77777777" w:rsidR="000A6C14" w:rsidRDefault="000A6C14" w:rsidP="000A6C14">
      <w:pPr>
        <w:spacing w:after="0" w:line="240" w:lineRule="auto"/>
        <w:ind w:left="720"/>
        <w:jc w:val="both"/>
        <w:textAlignment w:val="baseline"/>
        <w:rPr>
          <w:noProof/>
        </w:rPr>
      </w:pPr>
    </w:p>
    <w:p w14:paraId="38C2A211" w14:textId="77777777" w:rsidR="000A6C14" w:rsidRDefault="000A6C14" w:rsidP="000A6C14">
      <w:pPr>
        <w:spacing w:after="0" w:line="240" w:lineRule="auto"/>
        <w:ind w:left="720"/>
        <w:jc w:val="both"/>
        <w:textAlignment w:val="baseline"/>
        <w:rPr>
          <w:noProof/>
        </w:rPr>
      </w:pPr>
    </w:p>
    <w:p w14:paraId="1DD04231" w14:textId="77777777" w:rsidR="000A6C14" w:rsidRPr="0067498F" w:rsidRDefault="000A6C14" w:rsidP="002503E7">
      <w:pPr>
        <w:pStyle w:val="ListParagraph"/>
        <w:widowControl w:val="0"/>
        <w:numPr>
          <w:ilvl w:val="0"/>
          <w:numId w:val="1"/>
        </w:numPr>
        <w:tabs>
          <w:tab w:val="left" w:pos="1111"/>
          <w:tab w:val="left" w:pos="1112"/>
        </w:tabs>
        <w:autoSpaceDE w:val="0"/>
        <w:autoSpaceDN w:val="0"/>
        <w:spacing w:before="121" w:after="0" w:line="240" w:lineRule="auto"/>
        <w:jc w:val="both"/>
        <w:textAlignment w:val="baseline"/>
        <w:rPr>
          <w:noProof/>
        </w:rPr>
      </w:pPr>
      <w:r w:rsidRPr="00724ABF">
        <w:rPr>
          <w:b/>
          <w:bCs/>
          <w:sz w:val="24"/>
          <w:szCs w:val="24"/>
          <w:lang w:val="fr" w:eastAsia="fr-CI"/>
        </w:rPr>
        <w:t xml:space="preserve">Développement de la proposition </w:t>
      </w:r>
      <w:proofErr w:type="gramStart"/>
      <w:r w:rsidRPr="00724ABF">
        <w:rPr>
          <w:b/>
          <w:bCs/>
          <w:sz w:val="24"/>
          <w:szCs w:val="24"/>
          <w:lang w:val="fr" w:eastAsia="fr-CI"/>
        </w:rPr>
        <w:t>complète</w:t>
      </w:r>
      <w:r w:rsidRPr="00724ABF">
        <w:rPr>
          <w:sz w:val="24"/>
          <w:szCs w:val="24"/>
          <w:lang w:val="fr" w:eastAsia="fr-CI"/>
        </w:rPr>
        <w:t>:</w:t>
      </w:r>
      <w:proofErr w:type="gramEnd"/>
      <w:r w:rsidRPr="00724ABF">
        <w:rPr>
          <w:sz w:val="24"/>
          <w:szCs w:val="24"/>
          <w:lang w:val="fr" w:eastAsia="fr-CI"/>
        </w:rPr>
        <w:t xml:space="preserve"> Les candidats présélectionnés </w:t>
      </w:r>
    </w:p>
    <w:p w14:paraId="59880760" w14:textId="77777777" w:rsidR="000A6C14" w:rsidRPr="009163C4" w:rsidRDefault="000A6C14" w:rsidP="000A6C14">
      <w:pPr>
        <w:spacing w:after="0" w:line="240" w:lineRule="auto"/>
        <w:ind w:left="-270"/>
        <w:jc w:val="both"/>
        <w:textAlignment w:val="baseline"/>
        <w:rPr>
          <w:rFonts w:ascii="Arial" w:eastAsia="Times New Roman" w:hAnsi="Arial" w:cs="Arial"/>
          <w:kern w:val="0"/>
          <w:sz w:val="24"/>
          <w:szCs w:val="24"/>
          <w:lang w:eastAsia="fr-CI"/>
          <w14:ligatures w14:val="none"/>
        </w:rPr>
      </w:pPr>
      <w:proofErr w:type="gramStart"/>
      <w:r w:rsidRPr="009163C4">
        <w:rPr>
          <w:rFonts w:ascii="Arial" w:hAnsi="Arial" w:cs="Arial"/>
          <w:kern w:val="0"/>
          <w:sz w:val="24"/>
          <w:szCs w:val="24"/>
          <w:lang w:val="fr" w:eastAsia="fr-CI"/>
          <w14:ligatures w14:val="none"/>
        </w:rPr>
        <w:t>seront</w:t>
      </w:r>
      <w:proofErr w:type="gramEnd"/>
      <w:r w:rsidRPr="009163C4">
        <w:rPr>
          <w:rFonts w:ascii="Arial" w:hAnsi="Arial" w:cs="Arial"/>
          <w:kern w:val="0"/>
          <w:sz w:val="24"/>
          <w:szCs w:val="24"/>
          <w:lang w:val="fr" w:eastAsia="fr-CI"/>
          <w14:ligatures w14:val="none"/>
        </w:rPr>
        <w:t xml:space="preserve"> contactés et invités à soumettre une proposition technique complète et un budget en utilisant le modèle approprié via ce </w:t>
      </w:r>
      <w:r w:rsidRPr="009163C4">
        <w:rPr>
          <w:rFonts w:ascii="Arial" w:hAnsi="Arial" w:cs="Arial"/>
          <w:kern w:val="0"/>
          <w:sz w:val="24"/>
          <w:szCs w:val="24"/>
          <w:u w:val="single"/>
          <w:shd w:val="clear" w:color="auto" w:fill="FFFF00"/>
          <w:lang w:val="fr" w:eastAsia="fr-CI"/>
          <w14:ligatures w14:val="none"/>
        </w:rPr>
        <w:t>lien</w:t>
      </w:r>
      <w:r w:rsidRPr="009163C4">
        <w:rPr>
          <w:rFonts w:ascii="Arial" w:hAnsi="Arial" w:cs="Arial"/>
          <w:kern w:val="0"/>
          <w:sz w:val="24"/>
          <w:szCs w:val="24"/>
          <w:lang w:val="fr" w:eastAsia="fr-CI"/>
          <w14:ligatures w14:val="none"/>
        </w:rPr>
        <w:t>. Les candidats du consortium devront fournir plus de renseignements et de données supplémentaires pour les mêmes critères d’admissibilité et élaborer des stratégies détaillées et opérationnelles. La deuxième phase du programme de préparation fournira donc des outils et des informations supplémentaires sur la conception des propositions, l’élaboration de modules pour les exigences de la stratégie, la planification et les informations sur les indicateurs à atteindre, les outils budgétaires, y compris l’éligibilité des éléments de coût pour les candidats présélectionnés. Pour le budget, les contributions détaillées des partenaires (en espèces et en nature) et la contribution de la GIZ souhaité doivent être préparées. En ce qui concerne les éléments de coûts, les investissements peuvent être éligibles alors que les coûts d’exploitation quotidiens des activités en cours ne le seraient pas, par exemple. Toutes les informations demandées, y compris les annexes pertinentes, doivent être fournies pour être éligibles. </w:t>
      </w:r>
    </w:p>
    <w:p w14:paraId="528FC2D8" w14:textId="77777777" w:rsidR="000A6C14" w:rsidRDefault="000A6C14" w:rsidP="000A6C14">
      <w:pPr>
        <w:spacing w:after="0" w:line="240" w:lineRule="auto"/>
        <w:jc w:val="both"/>
        <w:textAlignment w:val="baseline"/>
        <w:rPr>
          <w:rFonts w:ascii="Arial" w:hAnsi="Arial" w:cs="Arial"/>
          <w:kern w:val="0"/>
          <w:sz w:val="24"/>
          <w:szCs w:val="24"/>
          <w:lang w:val="fr" w:eastAsia="fr-CI"/>
          <w14:ligatures w14:val="none"/>
        </w:rPr>
      </w:pPr>
    </w:p>
    <w:p w14:paraId="7032B18E" w14:textId="77777777" w:rsidR="000A6C14" w:rsidRPr="009163C4" w:rsidRDefault="000A6C14" w:rsidP="000A6C14">
      <w:pPr>
        <w:spacing w:after="0" w:line="240" w:lineRule="auto"/>
        <w:ind w:left="-27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Au cours de cette étape, une évaluation de l’adéquation commerciale sera effectuée. Dans certains cas, les demandeurs principaux peuvent également avoir à subir une analyse des risques de réputation.</w:t>
      </w:r>
    </w:p>
    <w:p w14:paraId="63D293AA" w14:textId="77777777" w:rsidR="000A6C14" w:rsidRDefault="000A6C14" w:rsidP="000A6C14">
      <w:pPr>
        <w:spacing w:after="0" w:line="240" w:lineRule="auto"/>
        <w:ind w:left="360" w:right="60"/>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077BCFF" w14:textId="77777777" w:rsidR="000A6C14" w:rsidRPr="00065986" w:rsidRDefault="000A6C14" w:rsidP="002503E7">
      <w:pPr>
        <w:pStyle w:val="ListParagraph"/>
        <w:widowControl w:val="0"/>
        <w:numPr>
          <w:ilvl w:val="0"/>
          <w:numId w:val="1"/>
        </w:numPr>
        <w:tabs>
          <w:tab w:val="left" w:pos="1111"/>
          <w:tab w:val="left" w:pos="1112"/>
        </w:tabs>
        <w:autoSpaceDE w:val="0"/>
        <w:autoSpaceDN w:val="0"/>
        <w:spacing w:before="121" w:after="0" w:line="240" w:lineRule="auto"/>
        <w:ind w:right="60"/>
        <w:jc w:val="both"/>
        <w:textAlignment w:val="baseline"/>
        <w:rPr>
          <w:rFonts w:eastAsia="Times New Roman"/>
          <w:sz w:val="24"/>
          <w:szCs w:val="24"/>
          <w:lang w:eastAsia="fr-CI"/>
        </w:rPr>
      </w:pPr>
      <w:r w:rsidRPr="00065986">
        <w:rPr>
          <w:b/>
          <w:bCs/>
          <w:sz w:val="24"/>
          <w:szCs w:val="24"/>
          <w:lang w:val="fr" w:eastAsia="fr-CI"/>
        </w:rPr>
        <w:t>Pour l’évaluation des propositions</w:t>
      </w:r>
      <w:r w:rsidRPr="00065986">
        <w:rPr>
          <w:sz w:val="24"/>
          <w:szCs w:val="24"/>
          <w:lang w:val="fr" w:eastAsia="fr-CI"/>
        </w:rPr>
        <w:t xml:space="preserve"> complètes, le comité d’experts évaluera et notera les propositions complètes en fonction des critères d’éligibilité et préparera un aperçu des notes pour approbation finale par le Conseil d’administration du Fonds de subvention de contrepartie pour le cajou. La décision finale concernant les demandes sera rendue en temps opportun après la soumission des propositions techniques et des budgets complets et sera communiquée par écrit à tous les postulants.</w:t>
      </w:r>
    </w:p>
    <w:p w14:paraId="2C9A4D1E" w14:textId="77777777" w:rsidR="000A6C14" w:rsidRDefault="000A6C14" w:rsidP="000A6C14">
      <w:pPr>
        <w:spacing w:after="0" w:line="240" w:lineRule="auto"/>
        <w:ind w:left="1080"/>
        <w:jc w:val="both"/>
        <w:textAlignment w:val="baseline"/>
        <w:rPr>
          <w:rFonts w:ascii="Arial" w:hAnsi="Arial" w:cs="Arial"/>
          <w:b/>
          <w:bCs/>
          <w:kern w:val="0"/>
          <w:sz w:val="24"/>
          <w:szCs w:val="24"/>
          <w:lang w:val="fr" w:eastAsia="fr-CI"/>
          <w14:ligatures w14:val="none"/>
        </w:rPr>
      </w:pPr>
    </w:p>
    <w:p w14:paraId="368D4081" w14:textId="77777777" w:rsidR="000A6C14" w:rsidRPr="00485861"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485861">
        <w:rPr>
          <w:rFonts w:ascii="Arial" w:eastAsia="Times New Roman" w:hAnsi="Arial" w:cs="Arial"/>
          <w:kern w:val="0"/>
          <w:sz w:val="24"/>
          <w:szCs w:val="24"/>
          <w:lang w:eastAsia="fr-CI"/>
          <w14:ligatures w14:val="none"/>
        </w:rPr>
        <w:t xml:space="preserve">Le financement des propositions complètes validées sera assuré dans les catégories suivantes </w:t>
      </w:r>
    </w:p>
    <w:p w14:paraId="63F06F13" w14:textId="77777777" w:rsidR="000A6C14" w:rsidRPr="00485861" w:rsidRDefault="000A6C14" w:rsidP="000A6C14">
      <w:pPr>
        <w:spacing w:after="0" w:line="240" w:lineRule="auto"/>
        <w:ind w:left="1080"/>
        <w:jc w:val="both"/>
        <w:textAlignment w:val="baseline"/>
        <w:rPr>
          <w:rFonts w:ascii="Arial" w:eastAsia="Times New Roman" w:hAnsi="Arial" w:cs="Arial"/>
          <w:kern w:val="0"/>
          <w:sz w:val="24"/>
          <w:szCs w:val="24"/>
          <w:lang w:eastAsia="fr-CI"/>
          <w14:ligatures w14:val="none"/>
        </w:rPr>
      </w:pPr>
      <w:r w:rsidRPr="00485861">
        <w:rPr>
          <w:rFonts w:ascii="Arial" w:eastAsia="Times New Roman" w:hAnsi="Arial" w:cs="Arial"/>
          <w:kern w:val="0"/>
          <w:sz w:val="24"/>
          <w:szCs w:val="24"/>
          <w:lang w:eastAsia="fr-CI"/>
          <w14:ligatures w14:val="none"/>
        </w:rPr>
        <w:t>(i) Un consortium : jusqu'à 125 000 EUR</w:t>
      </w:r>
    </w:p>
    <w:p w14:paraId="19E2206B" w14:textId="77777777" w:rsidR="000A6C14" w:rsidRPr="00485861" w:rsidRDefault="000A6C14" w:rsidP="000A6C14">
      <w:pPr>
        <w:spacing w:after="0" w:line="240" w:lineRule="auto"/>
        <w:ind w:left="1080"/>
        <w:jc w:val="both"/>
        <w:textAlignment w:val="baseline"/>
        <w:rPr>
          <w:rFonts w:ascii="Arial" w:eastAsia="Times New Roman" w:hAnsi="Arial" w:cs="Arial"/>
          <w:kern w:val="0"/>
          <w:sz w:val="24"/>
          <w:szCs w:val="24"/>
          <w:lang w:eastAsia="fr-CI"/>
          <w14:ligatures w14:val="none"/>
        </w:rPr>
      </w:pPr>
      <w:r w:rsidRPr="00485861">
        <w:rPr>
          <w:rFonts w:ascii="Arial" w:eastAsia="Times New Roman" w:hAnsi="Arial" w:cs="Arial"/>
          <w:kern w:val="0"/>
          <w:sz w:val="24"/>
          <w:szCs w:val="24"/>
          <w:lang w:eastAsia="fr-CI"/>
          <w14:ligatures w14:val="none"/>
        </w:rPr>
        <w:t>(ii) Alliances stratégiques : plus de 125 000 EUR, audit compris.</w:t>
      </w:r>
    </w:p>
    <w:p w14:paraId="13026DA9" w14:textId="77777777" w:rsidR="000A6C14" w:rsidRPr="00485861" w:rsidRDefault="000A6C14" w:rsidP="000A6C14">
      <w:pPr>
        <w:spacing w:after="0" w:line="240" w:lineRule="auto"/>
        <w:ind w:left="1080"/>
        <w:jc w:val="both"/>
        <w:textAlignment w:val="baseline"/>
        <w:rPr>
          <w:rFonts w:ascii="Arial" w:eastAsia="Times New Roman" w:hAnsi="Arial" w:cs="Arial"/>
          <w:kern w:val="0"/>
          <w:sz w:val="24"/>
          <w:szCs w:val="24"/>
          <w:lang w:eastAsia="fr-CI"/>
          <w14:ligatures w14:val="none"/>
        </w:rPr>
      </w:pPr>
    </w:p>
    <w:p w14:paraId="5F359621" w14:textId="77777777" w:rsidR="000A6C14" w:rsidRPr="00485861"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485861">
        <w:rPr>
          <w:rFonts w:ascii="Arial" w:eastAsia="Times New Roman" w:hAnsi="Arial" w:cs="Arial"/>
          <w:kern w:val="0"/>
          <w:sz w:val="24"/>
          <w:szCs w:val="24"/>
          <w:lang w:eastAsia="fr-CI"/>
          <w14:ligatures w14:val="none"/>
        </w:rPr>
        <w:t xml:space="preserve">Les candidats peuvent se référer au document "Guideline for </w:t>
      </w:r>
      <w:proofErr w:type="spellStart"/>
      <w:r w:rsidRPr="00485861">
        <w:rPr>
          <w:rFonts w:ascii="Arial" w:eastAsia="Times New Roman" w:hAnsi="Arial" w:cs="Arial"/>
          <w:kern w:val="0"/>
          <w:sz w:val="24"/>
          <w:szCs w:val="24"/>
          <w:lang w:eastAsia="fr-CI"/>
          <w14:ligatures w14:val="none"/>
        </w:rPr>
        <w:t>eligible</w:t>
      </w:r>
      <w:proofErr w:type="spellEnd"/>
      <w:r w:rsidRPr="00485861">
        <w:rPr>
          <w:rFonts w:ascii="Arial" w:eastAsia="Times New Roman" w:hAnsi="Arial" w:cs="Arial"/>
          <w:kern w:val="0"/>
          <w:sz w:val="24"/>
          <w:szCs w:val="24"/>
          <w:lang w:eastAsia="fr-CI"/>
          <w14:ligatures w14:val="none"/>
        </w:rPr>
        <w:t xml:space="preserve"> </w:t>
      </w:r>
      <w:proofErr w:type="spellStart"/>
      <w:r w:rsidRPr="00485861">
        <w:rPr>
          <w:rFonts w:ascii="Arial" w:eastAsia="Times New Roman" w:hAnsi="Arial" w:cs="Arial"/>
          <w:kern w:val="0"/>
          <w:sz w:val="24"/>
          <w:szCs w:val="24"/>
          <w:lang w:eastAsia="fr-CI"/>
          <w14:ligatures w14:val="none"/>
        </w:rPr>
        <w:t>cost</w:t>
      </w:r>
      <w:proofErr w:type="spellEnd"/>
      <w:r w:rsidRPr="00485861">
        <w:rPr>
          <w:rFonts w:ascii="Arial" w:eastAsia="Times New Roman" w:hAnsi="Arial" w:cs="Arial"/>
          <w:kern w:val="0"/>
          <w:sz w:val="24"/>
          <w:szCs w:val="24"/>
          <w:lang w:eastAsia="fr-CI"/>
          <w14:ligatures w14:val="none"/>
        </w:rPr>
        <w:t xml:space="preserve">" via ce lien pour plus d'informations. </w:t>
      </w:r>
    </w:p>
    <w:p w14:paraId="25CD507F"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485861">
        <w:rPr>
          <w:rFonts w:ascii="Arial" w:eastAsia="Times New Roman" w:hAnsi="Arial" w:cs="Arial"/>
          <w:kern w:val="0"/>
          <w:sz w:val="24"/>
          <w:szCs w:val="24"/>
          <w:lang w:eastAsia="fr-CI"/>
          <w14:ligatures w14:val="none"/>
        </w:rPr>
        <w:t xml:space="preserve">Le nombre de projets sélectionnés sera déterminé par le budget disponible pour MOVE ComCashew. Pour cette raison, les candidats qui ne sont pas sélectionnés pour cet appel sont fortement encouragés à présenter une nouvelle demande de </w:t>
      </w:r>
      <w:r>
        <w:rPr>
          <w:rFonts w:ascii="Arial" w:eastAsia="Times New Roman" w:hAnsi="Arial" w:cs="Arial"/>
          <w:kern w:val="0"/>
          <w:sz w:val="24"/>
          <w:szCs w:val="24"/>
          <w:lang w:eastAsia="fr-CI"/>
          <w14:ligatures w14:val="none"/>
        </w:rPr>
        <w:t>fons</w:t>
      </w:r>
      <w:r w:rsidRPr="00485861">
        <w:rPr>
          <w:rFonts w:ascii="Arial" w:eastAsia="Times New Roman" w:hAnsi="Arial" w:cs="Arial"/>
          <w:kern w:val="0"/>
          <w:sz w:val="24"/>
          <w:szCs w:val="24"/>
          <w:lang w:eastAsia="fr-CI"/>
          <w14:ligatures w14:val="none"/>
        </w:rPr>
        <w:t xml:space="preserve"> dans le cadre d'un appel à propositions ultérieur.</w:t>
      </w:r>
    </w:p>
    <w:p w14:paraId="5095F02D" w14:textId="77777777" w:rsidR="000A6C14" w:rsidRPr="009163C4" w:rsidRDefault="000A6C14" w:rsidP="000A6C14">
      <w:pPr>
        <w:spacing w:after="0" w:line="240" w:lineRule="auto"/>
        <w:ind w:left="720" w:right="60"/>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232BD899" w14:textId="77777777" w:rsidR="000A6C14" w:rsidRPr="009163C4" w:rsidRDefault="000A6C14" w:rsidP="000A6C14">
      <w:pPr>
        <w:spacing w:after="0" w:line="240" w:lineRule="auto"/>
        <w:ind w:left="375" w:right="60"/>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4212EC9" w14:textId="77777777" w:rsidR="000A6C14" w:rsidRPr="000C7125" w:rsidRDefault="000A6C14" w:rsidP="002503E7">
      <w:pPr>
        <w:pStyle w:val="ListParagraph"/>
        <w:widowControl w:val="0"/>
        <w:numPr>
          <w:ilvl w:val="0"/>
          <w:numId w:val="1"/>
        </w:numPr>
        <w:tabs>
          <w:tab w:val="left" w:pos="1111"/>
          <w:tab w:val="left" w:pos="1112"/>
        </w:tabs>
        <w:autoSpaceDE w:val="0"/>
        <w:autoSpaceDN w:val="0"/>
        <w:spacing w:before="121" w:after="0" w:line="240" w:lineRule="auto"/>
        <w:jc w:val="both"/>
        <w:textAlignment w:val="baseline"/>
        <w:rPr>
          <w:rFonts w:eastAsia="Times New Roman"/>
          <w:sz w:val="24"/>
          <w:szCs w:val="24"/>
          <w:lang w:val="fr-FR" w:eastAsia="fr-CI"/>
        </w:rPr>
      </w:pPr>
      <w:r w:rsidRPr="00065986">
        <w:rPr>
          <w:b/>
          <w:bCs/>
          <w:sz w:val="24"/>
          <w:szCs w:val="24"/>
          <w:lang w:val="fr" w:eastAsia="fr-CI"/>
        </w:rPr>
        <w:t xml:space="preserve">Contrat et </w:t>
      </w:r>
      <w:proofErr w:type="spellStart"/>
      <w:r w:rsidRPr="00065986">
        <w:rPr>
          <w:b/>
          <w:bCs/>
          <w:sz w:val="24"/>
          <w:szCs w:val="24"/>
          <w:lang w:val="fr" w:eastAsia="fr-CI"/>
        </w:rPr>
        <w:t>implimentation</w:t>
      </w:r>
      <w:proofErr w:type="spellEnd"/>
      <w:r w:rsidRPr="00065986">
        <w:rPr>
          <w:b/>
          <w:bCs/>
          <w:sz w:val="24"/>
          <w:szCs w:val="24"/>
          <w:lang w:val="fr" w:eastAsia="fr-CI"/>
        </w:rPr>
        <w:t xml:space="preserve"> :</w:t>
      </w:r>
      <w:r w:rsidRPr="00065986">
        <w:rPr>
          <w:sz w:val="24"/>
          <w:szCs w:val="24"/>
          <w:lang w:val="fr" w:eastAsia="fr-CI"/>
        </w:rPr>
        <w:t xml:space="preserve"> Après approbation par le Conseil, un contrat de mise en œuvre du projet doit être préparé entre MOVE ComCashew et le candidat principal représentant le consortium. L’équipe des finances et de l’administration de MOVE ComCashew sera également en contact pour expliquer la nature du contrat et répondre à toutes les questions, en plus des webinaires prévus. L'Accord de Partenariat pour le Développement intégré de la GIZ (</w:t>
      </w:r>
      <w:proofErr w:type="spellStart"/>
      <w:r w:rsidRPr="00065986">
        <w:rPr>
          <w:sz w:val="24"/>
          <w:szCs w:val="24"/>
          <w:lang w:val="fr" w:eastAsia="fr-CI"/>
        </w:rPr>
        <w:t>iDPP</w:t>
      </w:r>
      <w:proofErr w:type="spellEnd"/>
      <w:r w:rsidRPr="00065986">
        <w:rPr>
          <w:sz w:val="24"/>
          <w:szCs w:val="24"/>
          <w:lang w:val="fr" w:eastAsia="fr-CI"/>
        </w:rPr>
        <w:t xml:space="preserve">) sera utilisé pour toutes les </w:t>
      </w:r>
      <w:r w:rsidRPr="00065986">
        <w:rPr>
          <w:sz w:val="24"/>
          <w:szCs w:val="24"/>
          <w:lang w:val="fr" w:eastAsia="fr-CI"/>
        </w:rPr>
        <w:lastRenderedPageBreak/>
        <w:t>demandes provenant du secteur privé. Dans ce cas, le partenaire privé doit mobiliser au moins 60 % des ressources totales nécessaires. Ici, le partenaire privé doit mobiliser au moins 60% du total des ressources nécessaires.</w:t>
      </w:r>
    </w:p>
    <w:p w14:paraId="680CC09D" w14:textId="77777777" w:rsidR="000A6C14" w:rsidRDefault="000A6C14" w:rsidP="000A6C14">
      <w:pPr>
        <w:spacing w:after="0" w:line="240" w:lineRule="auto"/>
        <w:ind w:left="720"/>
        <w:jc w:val="both"/>
        <w:textAlignment w:val="baseline"/>
        <w:rPr>
          <w:rFonts w:ascii="Arial" w:hAnsi="Arial" w:cs="Arial"/>
          <w:kern w:val="0"/>
          <w:sz w:val="24"/>
          <w:szCs w:val="24"/>
          <w:lang w:val="fr" w:eastAsia="fr-CI"/>
          <w14:ligatures w14:val="none"/>
        </w:rPr>
      </w:pPr>
    </w:p>
    <w:p w14:paraId="4C4640F1" w14:textId="77777777" w:rsidR="000A6C14" w:rsidRPr="009163C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 xml:space="preserve">Le candidat </w:t>
      </w:r>
      <w:r>
        <w:rPr>
          <w:rFonts w:ascii="Arial" w:hAnsi="Arial" w:cs="Arial"/>
          <w:kern w:val="0"/>
          <w:sz w:val="24"/>
          <w:szCs w:val="24"/>
          <w:lang w:val="fr" w:eastAsia="fr-CI"/>
          <w14:ligatures w14:val="none"/>
        </w:rPr>
        <w:t>(principal)</w:t>
      </w:r>
      <w:r w:rsidRPr="009163C4">
        <w:rPr>
          <w:rFonts w:ascii="Arial" w:hAnsi="Arial" w:cs="Arial"/>
          <w:kern w:val="0"/>
          <w:sz w:val="24"/>
          <w:szCs w:val="24"/>
          <w:lang w:val="fr" w:eastAsia="fr-CI"/>
          <w14:ligatures w14:val="none"/>
        </w:rPr>
        <w:t xml:space="preserve"> sera légalement responsable de la mise en œuvre du projet et consultera régulièrement l'équipe du projet MOVE ComCashew, qui sera disponible en permanence pour fournir une assistance. Le financement convenu est ensuite versé au candidat (chef de file) pour la mise en œuvre des activités approuvées, conformément au calendrier de décaissement convenu.</w:t>
      </w:r>
    </w:p>
    <w:p w14:paraId="3E364BB2" w14:textId="77777777" w:rsidR="000A6C14" w:rsidRPr="009163C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r w:rsidRPr="009163C4">
        <w:rPr>
          <w:rFonts w:ascii="Arial" w:hAnsi="Arial" w:cs="Arial"/>
          <w:kern w:val="0"/>
          <w:sz w:val="24"/>
          <w:szCs w:val="24"/>
          <w:lang w:val="fr" w:eastAsia="fr-CI"/>
          <w14:ligatures w14:val="none"/>
        </w:rPr>
        <w:t xml:space="preserve">En ce qui concerne les exigences en matière de rapports, le candidat principal devra fournir régulièrement des rapports techniques et financiers (semestriels) axés sur les interventions clés liées aux contraintes auxquelles l’investissement du Fonds de subventions de contrepartie répond. Un audit externe sera effectué pour les projets dont le budget dépasse </w:t>
      </w:r>
      <w:r w:rsidRPr="00267C03">
        <w:rPr>
          <w:rFonts w:ascii="Arial" w:hAnsi="Arial" w:cs="Arial"/>
          <w:kern w:val="0"/>
          <w:sz w:val="24"/>
          <w:szCs w:val="24"/>
          <w:lang w:val="fr" w:eastAsia="fr-CI"/>
          <w14:ligatures w14:val="none"/>
        </w:rPr>
        <w:t>125 000 EUR</w:t>
      </w:r>
      <w:r w:rsidRPr="009163C4">
        <w:rPr>
          <w:rFonts w:ascii="Arial" w:hAnsi="Arial" w:cs="Arial"/>
          <w:kern w:val="0"/>
          <w:sz w:val="24"/>
          <w:szCs w:val="24"/>
          <w:lang w:val="fr" w:eastAsia="fr-CI"/>
          <w14:ligatures w14:val="none"/>
        </w:rPr>
        <w:t>. Des exigences personnalisées liées aux conditions spécifiques et à la configuration des partenaires/consortiums peuvent être envisagées et convenues au cours de la phase contractuelle.</w:t>
      </w:r>
    </w:p>
    <w:p w14:paraId="4402C5F4" w14:textId="77777777" w:rsidR="000A6C14" w:rsidRDefault="000A6C14" w:rsidP="000A6C14">
      <w:pPr>
        <w:spacing w:after="0" w:line="240" w:lineRule="auto"/>
        <w:ind w:left="720"/>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À la fin de la période de projet convenue, une fois que les rapports techniques et financiers finaux sont reçus du candidat principal et que le rapport d’audit externe final (le cas échéant) a été soumis, MOVE ComCashew clôturera officiellement le projet.</w:t>
      </w:r>
    </w:p>
    <w:p w14:paraId="3970F6C3" w14:textId="77777777" w:rsidR="000A6C14" w:rsidRDefault="000A6C14" w:rsidP="000A6C14">
      <w:pPr>
        <w:spacing w:after="0" w:line="240" w:lineRule="auto"/>
        <w:ind w:left="720"/>
        <w:jc w:val="both"/>
        <w:textAlignment w:val="baseline"/>
        <w:rPr>
          <w:rFonts w:ascii="Arial" w:hAnsi="Arial" w:cs="Arial"/>
          <w:kern w:val="0"/>
          <w:sz w:val="24"/>
          <w:szCs w:val="24"/>
          <w:lang w:val="fr" w:eastAsia="fr-CI"/>
          <w14:ligatures w14:val="none"/>
        </w:rPr>
      </w:pPr>
    </w:p>
    <w:p w14:paraId="3DB75781" w14:textId="77777777" w:rsidR="000A6C14" w:rsidRDefault="000A6C14" w:rsidP="000A6C14">
      <w:pPr>
        <w:spacing w:after="0" w:line="240" w:lineRule="auto"/>
        <w:ind w:left="720"/>
        <w:jc w:val="both"/>
        <w:textAlignment w:val="baseline"/>
        <w:rPr>
          <w:rFonts w:ascii="Arial" w:hAnsi="Arial" w:cs="Arial"/>
          <w:kern w:val="0"/>
          <w:sz w:val="24"/>
          <w:szCs w:val="24"/>
          <w:lang w:val="fr" w:eastAsia="fr-CI"/>
          <w14:ligatures w14:val="none"/>
        </w:rPr>
      </w:pPr>
    </w:p>
    <w:p w14:paraId="3DA4C056" w14:textId="77777777"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r w:rsidRPr="00893D3B">
        <w:rPr>
          <w:rFonts w:ascii="Arial" w:hAnsi="Arial" w:cs="Arial"/>
          <w:b/>
          <w:bCs/>
          <w:color w:val="2F5496"/>
          <w:kern w:val="0"/>
          <w:sz w:val="24"/>
          <w:szCs w:val="24"/>
          <w:lang w:val="fr" w:eastAsia="fr-CI"/>
          <w14:ligatures w14:val="none"/>
        </w:rPr>
        <w:t>Délais pour le premier app</w:t>
      </w:r>
      <w:r>
        <w:rPr>
          <w:rFonts w:ascii="Arial" w:hAnsi="Arial" w:cs="Arial"/>
          <w:b/>
          <w:bCs/>
          <w:color w:val="2F5496"/>
          <w:kern w:val="0"/>
          <w:sz w:val="24"/>
          <w:szCs w:val="24"/>
          <w:lang w:val="fr" w:eastAsia="fr-CI"/>
          <w14:ligatures w14:val="none"/>
        </w:rPr>
        <w:t>el</w:t>
      </w:r>
      <w:r w:rsidRPr="00582F72">
        <w:rPr>
          <w:rFonts w:ascii="Arial" w:eastAsia="Times New Roman" w:hAnsi="Arial" w:cs="Arial"/>
          <w:kern w:val="0"/>
          <w:sz w:val="24"/>
          <w:szCs w:val="24"/>
          <w:lang w:eastAsia="fr-CI"/>
          <w14:ligatures w14:val="none"/>
        </w:rPr>
        <w:t xml:space="preserve"> :</w:t>
      </w:r>
    </w:p>
    <w:p w14:paraId="7473803A" w14:textId="77777777"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0E0B1ADF" w14:textId="77777777" w:rsidR="000A6C14" w:rsidRDefault="000A6C14" w:rsidP="000A6C14">
      <w:pPr>
        <w:spacing w:after="0" w:line="240" w:lineRule="auto"/>
        <w:ind w:left="720"/>
        <w:jc w:val="both"/>
        <w:textAlignment w:val="baseline"/>
      </w:pPr>
    </w:p>
    <w:p w14:paraId="5B12A2C5" w14:textId="77777777"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74FB3D86" w14:textId="77777777" w:rsidR="000A6C14" w:rsidRDefault="000A6C14" w:rsidP="000A6C14">
      <w:pPr>
        <w:spacing w:after="0" w:line="240" w:lineRule="auto"/>
        <w:ind w:left="720"/>
        <w:jc w:val="both"/>
        <w:textAlignment w:val="baseline"/>
      </w:pPr>
      <w:r>
        <w:rPr>
          <w:noProof/>
        </w:rPr>
        <w:drawing>
          <wp:inline distT="0" distB="0" distL="0" distR="0" wp14:anchorId="4226D2CB" wp14:editId="667185B1">
            <wp:extent cx="4572000" cy="3048000"/>
            <wp:effectExtent l="0" t="0" r="0" b="0"/>
            <wp:docPr id="1735222053" name="Picture 173522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65743557" w14:textId="77777777"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362F2798" w14:textId="77777777"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4A0EB5A7" w14:textId="2B1FFB8C"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0501F025" w14:textId="36667D74"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14E7A5F5" w14:textId="15D6612D"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5C5AC586" w14:textId="77777777"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bookmarkStart w:id="2" w:name="_GoBack"/>
      <w:bookmarkEnd w:id="2"/>
    </w:p>
    <w:p w14:paraId="315BB3CA" w14:textId="77777777" w:rsidR="000A6C1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260D2A58" w14:textId="77777777" w:rsidR="000A6C14" w:rsidRPr="00BF5BD8"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hAnsi="Arial" w:cs="Arial"/>
          <w:b/>
          <w:bCs/>
          <w:color w:val="2F5496"/>
          <w:kern w:val="0"/>
          <w:sz w:val="24"/>
          <w:szCs w:val="24"/>
          <w:lang w:val="fr" w:eastAsia="fr-CI"/>
          <w14:ligatures w14:val="none"/>
        </w:rPr>
        <w:t>Protection des données</w:t>
      </w:r>
    </w:p>
    <w:p w14:paraId="621E4344" w14:textId="77777777" w:rsidR="000A6C14" w:rsidRPr="009163C4" w:rsidRDefault="000A6C14" w:rsidP="000A6C14">
      <w:pPr>
        <w:spacing w:after="0" w:line="240" w:lineRule="auto"/>
        <w:ind w:left="720"/>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Pour les candidats au Fonds de subvention de contrepartie, veuillez noter que les renseignements ne seront utilisés à l’interne que pour le processus de sélection des partenaires et d’évaluation des propositions et ne seront pas partagés sans le consentement des candidats. N’hésitez pas à contacter l’équipe des chaînes de valeur axées sur le marché pour l’emploi et la croissance dans la CEDEAO (MOVE ComCashew) pour plus de précisions.</w:t>
      </w:r>
    </w:p>
    <w:p w14:paraId="3E07649D" w14:textId="77777777" w:rsidR="000A6C14" w:rsidRPr="009163C4" w:rsidRDefault="000A6C14" w:rsidP="000A6C14">
      <w:pPr>
        <w:spacing w:after="0" w:line="240" w:lineRule="auto"/>
        <w:ind w:left="720"/>
        <w:jc w:val="both"/>
        <w:textAlignment w:val="baseline"/>
        <w:rPr>
          <w:rFonts w:ascii="Arial" w:eastAsia="Times New Roman" w:hAnsi="Arial" w:cs="Arial"/>
          <w:kern w:val="0"/>
          <w:sz w:val="24"/>
          <w:szCs w:val="24"/>
          <w:lang w:eastAsia="fr-CI"/>
          <w14:ligatures w14:val="none"/>
        </w:rPr>
      </w:pPr>
    </w:p>
    <w:p w14:paraId="3CABBDDE" w14:textId="77777777" w:rsidR="000A6C14" w:rsidRPr="009163C4" w:rsidRDefault="000A6C14" w:rsidP="000A6C14">
      <w:pPr>
        <w:spacing w:after="0" w:line="240" w:lineRule="auto"/>
        <w:jc w:val="both"/>
        <w:textAlignment w:val="baseline"/>
        <w:rPr>
          <w:rFonts w:ascii="Arial" w:eastAsia="Times New Roman" w:hAnsi="Arial" w:cs="Arial"/>
          <w:b/>
          <w:bCs/>
          <w:color w:val="808080"/>
          <w:kern w:val="0"/>
          <w:sz w:val="24"/>
          <w:szCs w:val="24"/>
          <w:lang w:eastAsia="fr-CI"/>
          <w14:ligatures w14:val="none"/>
        </w:rPr>
      </w:pPr>
      <w:r w:rsidRPr="009163C4">
        <w:rPr>
          <w:rFonts w:ascii="Arial" w:hAnsi="Arial" w:cs="Arial"/>
          <w:b/>
          <w:bCs/>
          <w:color w:val="808080"/>
          <w:kern w:val="0"/>
          <w:sz w:val="24"/>
          <w:szCs w:val="24"/>
          <w:lang w:val="fr" w:eastAsia="fr-CI"/>
          <w14:ligatures w14:val="none"/>
        </w:rPr>
        <w:t>Annexes</w:t>
      </w:r>
    </w:p>
    <w:p w14:paraId="239FB788" w14:textId="77777777" w:rsidR="000A6C14" w:rsidRPr="00CD6AA7"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9163C4">
        <w:rPr>
          <w:rFonts w:ascii="Arial" w:hAnsi="Arial" w:cs="Arial"/>
          <w:kern w:val="0"/>
          <w:sz w:val="24"/>
          <w:szCs w:val="24"/>
          <w:lang w:val="fr" w:eastAsia="fr-CI"/>
          <w14:ligatures w14:val="none"/>
        </w:rPr>
        <w:t>Annexe 1</w:t>
      </w:r>
      <w:r>
        <w:rPr>
          <w:rFonts w:ascii="Arial" w:hAnsi="Arial" w:cs="Arial"/>
          <w:kern w:val="0"/>
          <w:sz w:val="24"/>
          <w:szCs w:val="24"/>
          <w:lang w:val="fr" w:eastAsia="fr-CI"/>
          <w14:ligatures w14:val="none"/>
        </w:rPr>
        <w:t xml:space="preserve"> : </w:t>
      </w:r>
      <w:r w:rsidRPr="00CD6AA7">
        <w:rPr>
          <w:rFonts w:ascii="Arial" w:hAnsi="Arial" w:cs="Arial"/>
          <w:kern w:val="0"/>
          <w:sz w:val="24"/>
          <w:szCs w:val="24"/>
          <w:lang w:val="fr" w:eastAsia="fr-CI"/>
          <w14:ligatures w14:val="none"/>
        </w:rPr>
        <w:t>Critères d'éligibilité</w:t>
      </w:r>
    </w:p>
    <w:p w14:paraId="415093A1" w14:textId="77777777" w:rsidR="000A6C14" w:rsidRPr="00CD6AA7"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CD6AA7">
        <w:rPr>
          <w:rFonts w:ascii="Arial" w:hAnsi="Arial" w:cs="Arial"/>
          <w:kern w:val="0"/>
          <w:sz w:val="24"/>
          <w:szCs w:val="24"/>
          <w:lang w:val="fr" w:eastAsia="fr-CI"/>
          <w14:ligatures w14:val="none"/>
        </w:rPr>
        <w:t xml:space="preserve">Annexe 2 : </w:t>
      </w:r>
      <w:r>
        <w:rPr>
          <w:rFonts w:ascii="Arial" w:hAnsi="Arial" w:cs="Arial"/>
          <w:kern w:val="0"/>
          <w:sz w:val="24"/>
          <w:szCs w:val="24"/>
          <w:lang w:val="fr" w:eastAsia="fr-CI"/>
          <w14:ligatures w14:val="none"/>
        </w:rPr>
        <w:t>Formulaire</w:t>
      </w:r>
      <w:r w:rsidRPr="00CD6AA7">
        <w:rPr>
          <w:rFonts w:ascii="Arial" w:hAnsi="Arial" w:cs="Arial"/>
          <w:kern w:val="0"/>
          <w:sz w:val="24"/>
          <w:szCs w:val="24"/>
          <w:lang w:val="fr" w:eastAsia="fr-CI"/>
          <w14:ligatures w14:val="none"/>
        </w:rPr>
        <w:t xml:space="preserve"> de </w:t>
      </w:r>
      <w:r>
        <w:rPr>
          <w:rFonts w:ascii="Arial" w:hAnsi="Arial" w:cs="Arial"/>
          <w:kern w:val="0"/>
          <w:sz w:val="24"/>
          <w:szCs w:val="24"/>
          <w:lang w:val="fr" w:eastAsia="fr-CI"/>
          <w14:ligatures w14:val="none"/>
        </w:rPr>
        <w:t>note conceptuelle</w:t>
      </w:r>
    </w:p>
    <w:p w14:paraId="4B3C5C4F" w14:textId="77777777" w:rsidR="000A6C14" w:rsidRPr="00CD6AA7" w:rsidRDefault="000A6C14" w:rsidP="000A6C14">
      <w:pPr>
        <w:spacing w:after="0" w:line="240" w:lineRule="auto"/>
        <w:jc w:val="both"/>
        <w:textAlignment w:val="baseline"/>
        <w:rPr>
          <w:rFonts w:ascii="Arial" w:hAnsi="Arial" w:cs="Arial"/>
          <w:kern w:val="0"/>
          <w:sz w:val="24"/>
          <w:szCs w:val="24"/>
          <w:lang w:val="fr" w:eastAsia="fr-CI"/>
          <w14:ligatures w14:val="none"/>
        </w:rPr>
      </w:pPr>
      <w:r w:rsidRPr="00CD6AA7">
        <w:rPr>
          <w:rFonts w:ascii="Arial" w:hAnsi="Arial" w:cs="Arial"/>
          <w:kern w:val="0"/>
          <w:sz w:val="24"/>
          <w:szCs w:val="24"/>
          <w:lang w:val="fr" w:eastAsia="fr-CI"/>
          <w14:ligatures w14:val="none"/>
        </w:rPr>
        <w:t>Annexe 3 : Modèle de lettre d'intention</w:t>
      </w:r>
    </w:p>
    <w:p w14:paraId="65AE0DDA"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CD6AA7">
        <w:rPr>
          <w:rFonts w:ascii="Arial" w:hAnsi="Arial" w:cs="Arial"/>
          <w:kern w:val="0"/>
          <w:sz w:val="24"/>
          <w:szCs w:val="24"/>
          <w:lang w:val="fr" w:eastAsia="fr-CI"/>
          <w14:ligatures w14:val="none"/>
        </w:rPr>
        <w:t>Annexe 4 : Lignes directrices sur les coûts éligibles au remboursement</w:t>
      </w:r>
    </w:p>
    <w:p w14:paraId="61564527"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45A7C4A8"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5030328D" w14:textId="77777777" w:rsidR="000A6C14" w:rsidRPr="009163C4" w:rsidRDefault="000A6C14" w:rsidP="000A6C14">
      <w:pPr>
        <w:spacing w:after="0" w:line="240" w:lineRule="auto"/>
        <w:jc w:val="both"/>
        <w:textAlignment w:val="baseline"/>
        <w:rPr>
          <w:rFonts w:ascii="Arial" w:eastAsia="Times New Roman" w:hAnsi="Arial" w:cs="Arial"/>
          <w:kern w:val="0"/>
          <w:sz w:val="24"/>
          <w:szCs w:val="24"/>
          <w:lang w:eastAsia="fr-CI"/>
          <w14:ligatures w14:val="none"/>
        </w:rPr>
      </w:pPr>
      <w:r w:rsidRPr="009163C4">
        <w:rPr>
          <w:rFonts w:ascii="Arial" w:eastAsia="Times New Roman" w:hAnsi="Arial" w:cs="Arial"/>
          <w:kern w:val="0"/>
          <w:sz w:val="24"/>
          <w:szCs w:val="24"/>
          <w:lang w:eastAsia="fr-CI"/>
          <w14:ligatures w14:val="none"/>
        </w:rPr>
        <w:t> </w:t>
      </w:r>
    </w:p>
    <w:p w14:paraId="64103D09" w14:textId="77777777" w:rsidR="000A6C14" w:rsidRPr="009163C4" w:rsidRDefault="000A6C14" w:rsidP="000A6C14">
      <w:pPr>
        <w:rPr>
          <w:rFonts w:ascii="Arial" w:hAnsi="Arial" w:cs="Arial"/>
          <w:sz w:val="24"/>
          <w:szCs w:val="24"/>
        </w:rPr>
      </w:pPr>
    </w:p>
    <w:p w14:paraId="5E027F19" w14:textId="77777777" w:rsidR="000A6C14" w:rsidRPr="00FE5DEF" w:rsidRDefault="000A6C14" w:rsidP="000A6C14"/>
    <w:p w14:paraId="7CC55DDC" w14:textId="130E806A" w:rsidR="00062AA3" w:rsidRPr="000A6C14" w:rsidRDefault="00062AA3" w:rsidP="000A6C14"/>
    <w:sectPr w:rsidR="00062AA3" w:rsidRPr="000A6C14">
      <w:headerReference w:type="default" r:id="rId37"/>
      <w:footerReference w:type="default" r:id="rId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9FFF" w14:textId="77777777" w:rsidR="002503E7" w:rsidRDefault="002503E7">
      <w:pPr>
        <w:spacing w:after="0" w:line="240" w:lineRule="auto"/>
      </w:pPr>
      <w:r>
        <w:separator/>
      </w:r>
    </w:p>
  </w:endnote>
  <w:endnote w:type="continuationSeparator" w:id="0">
    <w:p w14:paraId="0791C954" w14:textId="77777777" w:rsidR="002503E7" w:rsidRDefault="002503E7">
      <w:pPr>
        <w:spacing w:after="0" w:line="240" w:lineRule="auto"/>
      </w:pPr>
      <w:r>
        <w:continuationSeparator/>
      </w:r>
    </w:p>
  </w:endnote>
  <w:endnote w:type="continuationNotice" w:id="1">
    <w:p w14:paraId="3FFCE1F6" w14:textId="77777777" w:rsidR="002503E7" w:rsidRDefault="00250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CC4C" w14:textId="77777777" w:rsidR="001515C5" w:rsidRDefault="002503E7">
    <w:pPr>
      <w:pStyle w:val="Footer"/>
    </w:pPr>
    <w:r>
      <w:rPr>
        <w:noProof/>
      </w:rPr>
      <w:drawing>
        <wp:anchor distT="0" distB="0" distL="114300" distR="114300" simplePos="0" relativeHeight="251658242" behindDoc="0" locked="0" layoutInCell="1" allowOverlap="1" wp14:anchorId="31A4F906" wp14:editId="20F23505">
          <wp:simplePos x="0" y="0"/>
          <wp:positionH relativeFrom="column">
            <wp:posOffset>4502150</wp:posOffset>
          </wp:positionH>
          <wp:positionV relativeFrom="page">
            <wp:posOffset>9981565</wp:posOffset>
          </wp:positionV>
          <wp:extent cx="628650" cy="380365"/>
          <wp:effectExtent l="0" t="0" r="0" b="635"/>
          <wp:wrapNone/>
          <wp:docPr id="691267730" name="Picture 6912677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67730" name="Picture 4"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6E8D27E" wp14:editId="2CDFDECD">
          <wp:simplePos x="0" y="0"/>
          <wp:positionH relativeFrom="margin">
            <wp:posOffset>5086350</wp:posOffset>
          </wp:positionH>
          <wp:positionV relativeFrom="bottomMargin">
            <wp:posOffset>13335</wp:posOffset>
          </wp:positionV>
          <wp:extent cx="1362599" cy="717550"/>
          <wp:effectExtent l="0" t="0" r="9525" b="6350"/>
          <wp:wrapNone/>
          <wp:docPr id="1968944269" name="Picture 196894426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944269" name="Picture 2"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599"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14D69" w14:textId="77777777" w:rsidR="002503E7" w:rsidRDefault="002503E7">
      <w:pPr>
        <w:spacing w:after="0" w:line="240" w:lineRule="auto"/>
      </w:pPr>
      <w:r>
        <w:separator/>
      </w:r>
    </w:p>
  </w:footnote>
  <w:footnote w:type="continuationSeparator" w:id="0">
    <w:p w14:paraId="2BAAFDE7" w14:textId="77777777" w:rsidR="002503E7" w:rsidRDefault="002503E7">
      <w:pPr>
        <w:spacing w:after="0" w:line="240" w:lineRule="auto"/>
      </w:pPr>
      <w:r>
        <w:continuationSeparator/>
      </w:r>
    </w:p>
  </w:footnote>
  <w:footnote w:type="continuationNotice" w:id="1">
    <w:p w14:paraId="502463C2" w14:textId="77777777" w:rsidR="002503E7" w:rsidRDefault="002503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E07" w14:textId="77777777" w:rsidR="2E7860C7" w:rsidRDefault="002503E7" w:rsidP="2E7860C7">
    <w:pPr>
      <w:pStyle w:val="Header"/>
    </w:pPr>
    <w:r>
      <w:rPr>
        <w:noProof/>
      </w:rPr>
      <w:drawing>
        <wp:anchor distT="0" distB="0" distL="114300" distR="114300" simplePos="0" relativeHeight="251658240" behindDoc="0" locked="0" layoutInCell="1" allowOverlap="1" wp14:anchorId="74A15D37" wp14:editId="6D820FCC">
          <wp:simplePos x="0" y="0"/>
          <wp:positionH relativeFrom="column">
            <wp:posOffset>-450850</wp:posOffset>
          </wp:positionH>
          <wp:positionV relativeFrom="paragraph">
            <wp:posOffset>-298450</wp:posOffset>
          </wp:positionV>
          <wp:extent cx="2913380" cy="712470"/>
          <wp:effectExtent l="0" t="0" r="1270" b="0"/>
          <wp:wrapNone/>
          <wp:docPr id="454266232" name="Picture 4542662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266232" name="Picture 454266232"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338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364"/>
    <w:multiLevelType w:val="multilevel"/>
    <w:tmpl w:val="06F66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96B74ED"/>
    <w:multiLevelType w:val="hybridMultilevel"/>
    <w:tmpl w:val="59EC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7133A"/>
    <w:multiLevelType w:val="multilevel"/>
    <w:tmpl w:val="AB8E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4410D"/>
    <w:multiLevelType w:val="multilevel"/>
    <w:tmpl w:val="7F18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163FC"/>
    <w:multiLevelType w:val="multilevel"/>
    <w:tmpl w:val="1B0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578C7"/>
    <w:multiLevelType w:val="multilevel"/>
    <w:tmpl w:val="90F8F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90448"/>
    <w:multiLevelType w:val="multilevel"/>
    <w:tmpl w:val="B72E0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82377"/>
    <w:multiLevelType w:val="hybridMultilevel"/>
    <w:tmpl w:val="D4323F1E"/>
    <w:lvl w:ilvl="0" w:tplc="3D460CA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6F17355"/>
    <w:multiLevelType w:val="multilevel"/>
    <w:tmpl w:val="904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153C8"/>
    <w:multiLevelType w:val="multilevel"/>
    <w:tmpl w:val="26947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76C4F"/>
    <w:multiLevelType w:val="hybridMultilevel"/>
    <w:tmpl w:val="AAA87494"/>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40B64746"/>
    <w:multiLevelType w:val="multilevel"/>
    <w:tmpl w:val="6EEA7392"/>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B0021"/>
    <w:multiLevelType w:val="multilevel"/>
    <w:tmpl w:val="460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70107"/>
    <w:multiLevelType w:val="hybridMultilevel"/>
    <w:tmpl w:val="108ADAF4"/>
    <w:lvl w:ilvl="0" w:tplc="FFFFFFFF">
      <w:start w:val="1"/>
      <w:numFmt w:val="bullet"/>
      <w:pStyle w:val="Heading8Cha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8F2BC1"/>
    <w:multiLevelType w:val="multilevel"/>
    <w:tmpl w:val="713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E871A5"/>
    <w:multiLevelType w:val="hybridMultilevel"/>
    <w:tmpl w:val="3E38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9678C"/>
    <w:multiLevelType w:val="hybridMultilevel"/>
    <w:tmpl w:val="59C42726"/>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633E7E7B"/>
    <w:multiLevelType w:val="hybridMultilevel"/>
    <w:tmpl w:val="F6723110"/>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15:restartNumberingAfterBreak="0">
    <w:nsid w:val="69BA5A0F"/>
    <w:multiLevelType w:val="multilevel"/>
    <w:tmpl w:val="8F4E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A87F60"/>
    <w:multiLevelType w:val="hybridMultilevel"/>
    <w:tmpl w:val="B2E8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77062"/>
    <w:multiLevelType w:val="hybridMultilevel"/>
    <w:tmpl w:val="3EB8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CC7F03"/>
    <w:multiLevelType w:val="multilevel"/>
    <w:tmpl w:val="D574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8D4368"/>
    <w:multiLevelType w:val="hybridMultilevel"/>
    <w:tmpl w:val="5E30E326"/>
    <w:lvl w:ilvl="0" w:tplc="0407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11"/>
  </w:num>
  <w:num w:numId="2">
    <w:abstractNumId w:val="6"/>
  </w:num>
  <w:num w:numId="3">
    <w:abstractNumId w:val="5"/>
  </w:num>
  <w:num w:numId="4">
    <w:abstractNumId w:val="18"/>
  </w:num>
  <w:num w:numId="5">
    <w:abstractNumId w:val="21"/>
  </w:num>
  <w:num w:numId="6">
    <w:abstractNumId w:val="4"/>
  </w:num>
  <w:num w:numId="7">
    <w:abstractNumId w:val="2"/>
  </w:num>
  <w:num w:numId="8">
    <w:abstractNumId w:val="3"/>
  </w:num>
  <w:num w:numId="9">
    <w:abstractNumId w:val="8"/>
  </w:num>
  <w:num w:numId="10">
    <w:abstractNumId w:val="14"/>
  </w:num>
  <w:num w:numId="11">
    <w:abstractNumId w:val="0"/>
  </w:num>
  <w:num w:numId="12">
    <w:abstractNumId w:val="9"/>
  </w:num>
  <w:num w:numId="13">
    <w:abstractNumId w:val="12"/>
  </w:num>
  <w:num w:numId="14">
    <w:abstractNumId w:val="13"/>
  </w:num>
  <w:num w:numId="15">
    <w:abstractNumId w:val="20"/>
  </w:num>
  <w:num w:numId="16">
    <w:abstractNumId w:val="19"/>
  </w:num>
  <w:num w:numId="17">
    <w:abstractNumId w:val="15"/>
  </w:num>
  <w:num w:numId="18">
    <w:abstractNumId w:val="7"/>
  </w:num>
  <w:num w:numId="19">
    <w:abstractNumId w:val="10"/>
  </w:num>
  <w:num w:numId="20">
    <w:abstractNumId w:val="22"/>
  </w:num>
  <w:num w:numId="21">
    <w:abstractNumId w:val="16"/>
  </w:num>
  <w:num w:numId="22">
    <w:abstractNumId w:val="17"/>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A3"/>
    <w:rsid w:val="00025E1A"/>
    <w:rsid w:val="000358F5"/>
    <w:rsid w:val="00047A5E"/>
    <w:rsid w:val="0005498B"/>
    <w:rsid w:val="000576E1"/>
    <w:rsid w:val="00062AA3"/>
    <w:rsid w:val="000A6C14"/>
    <w:rsid w:val="000A6D2A"/>
    <w:rsid w:val="000E27A9"/>
    <w:rsid w:val="000E3607"/>
    <w:rsid w:val="000E7B3C"/>
    <w:rsid w:val="000F086C"/>
    <w:rsid w:val="000F2BD9"/>
    <w:rsid w:val="000F6F33"/>
    <w:rsid w:val="00127926"/>
    <w:rsid w:val="00140FCF"/>
    <w:rsid w:val="00142823"/>
    <w:rsid w:val="0014554F"/>
    <w:rsid w:val="00147791"/>
    <w:rsid w:val="001526A3"/>
    <w:rsid w:val="00180266"/>
    <w:rsid w:val="001A1BA8"/>
    <w:rsid w:val="001B04AB"/>
    <w:rsid w:val="001B5B20"/>
    <w:rsid w:val="001C4380"/>
    <w:rsid w:val="001E2DC1"/>
    <w:rsid w:val="001E3AA6"/>
    <w:rsid w:val="001E76A6"/>
    <w:rsid w:val="002307F2"/>
    <w:rsid w:val="00235EA1"/>
    <w:rsid w:val="002503E7"/>
    <w:rsid w:val="00275F86"/>
    <w:rsid w:val="00294B58"/>
    <w:rsid w:val="002A2B9D"/>
    <w:rsid w:val="002B3ED6"/>
    <w:rsid w:val="002D4FA6"/>
    <w:rsid w:val="002F120E"/>
    <w:rsid w:val="002F6EBD"/>
    <w:rsid w:val="0030340D"/>
    <w:rsid w:val="003054A6"/>
    <w:rsid w:val="003214F3"/>
    <w:rsid w:val="00350FE2"/>
    <w:rsid w:val="0035385C"/>
    <w:rsid w:val="00361FE3"/>
    <w:rsid w:val="003774C6"/>
    <w:rsid w:val="00380A52"/>
    <w:rsid w:val="003A1DCE"/>
    <w:rsid w:val="003B1F1A"/>
    <w:rsid w:val="003C5B17"/>
    <w:rsid w:val="00405962"/>
    <w:rsid w:val="0041552A"/>
    <w:rsid w:val="00420E71"/>
    <w:rsid w:val="00421E5A"/>
    <w:rsid w:val="004251AC"/>
    <w:rsid w:val="00437243"/>
    <w:rsid w:val="00445E83"/>
    <w:rsid w:val="00460757"/>
    <w:rsid w:val="004640F8"/>
    <w:rsid w:val="00481410"/>
    <w:rsid w:val="00481A40"/>
    <w:rsid w:val="00495DC8"/>
    <w:rsid w:val="004C2126"/>
    <w:rsid w:val="004D156D"/>
    <w:rsid w:val="004D217F"/>
    <w:rsid w:val="004D5759"/>
    <w:rsid w:val="004E2F67"/>
    <w:rsid w:val="004E698D"/>
    <w:rsid w:val="005018B9"/>
    <w:rsid w:val="00520C4A"/>
    <w:rsid w:val="00541E7E"/>
    <w:rsid w:val="00555CD7"/>
    <w:rsid w:val="00581F74"/>
    <w:rsid w:val="005D2A4F"/>
    <w:rsid w:val="005E1F72"/>
    <w:rsid w:val="005F2A65"/>
    <w:rsid w:val="006070DE"/>
    <w:rsid w:val="006147C2"/>
    <w:rsid w:val="006245DA"/>
    <w:rsid w:val="006A4907"/>
    <w:rsid w:val="006A536C"/>
    <w:rsid w:val="006D0BD4"/>
    <w:rsid w:val="006D4C68"/>
    <w:rsid w:val="006F149F"/>
    <w:rsid w:val="00701C8C"/>
    <w:rsid w:val="00712270"/>
    <w:rsid w:val="007132BC"/>
    <w:rsid w:val="00714BD3"/>
    <w:rsid w:val="00730316"/>
    <w:rsid w:val="00735307"/>
    <w:rsid w:val="007429F3"/>
    <w:rsid w:val="00743B2A"/>
    <w:rsid w:val="00743C01"/>
    <w:rsid w:val="00780809"/>
    <w:rsid w:val="00794D5C"/>
    <w:rsid w:val="007E3090"/>
    <w:rsid w:val="008017EC"/>
    <w:rsid w:val="00820AD1"/>
    <w:rsid w:val="00826810"/>
    <w:rsid w:val="008274A9"/>
    <w:rsid w:val="00835E7E"/>
    <w:rsid w:val="00843829"/>
    <w:rsid w:val="00846012"/>
    <w:rsid w:val="0086453F"/>
    <w:rsid w:val="00885D7B"/>
    <w:rsid w:val="008A15D6"/>
    <w:rsid w:val="008B7B82"/>
    <w:rsid w:val="008C4839"/>
    <w:rsid w:val="008C535B"/>
    <w:rsid w:val="008D4A1A"/>
    <w:rsid w:val="008D67BE"/>
    <w:rsid w:val="008D703E"/>
    <w:rsid w:val="00922E9B"/>
    <w:rsid w:val="00953A79"/>
    <w:rsid w:val="009560E8"/>
    <w:rsid w:val="0098512D"/>
    <w:rsid w:val="00996772"/>
    <w:rsid w:val="009B284E"/>
    <w:rsid w:val="009C455D"/>
    <w:rsid w:val="009D35F3"/>
    <w:rsid w:val="009E2144"/>
    <w:rsid w:val="009F3D85"/>
    <w:rsid w:val="00A14FF2"/>
    <w:rsid w:val="00A16136"/>
    <w:rsid w:val="00A5163E"/>
    <w:rsid w:val="00A5799B"/>
    <w:rsid w:val="00A64E7E"/>
    <w:rsid w:val="00A65698"/>
    <w:rsid w:val="00A84BCB"/>
    <w:rsid w:val="00A87CAC"/>
    <w:rsid w:val="00A924A6"/>
    <w:rsid w:val="00A9263F"/>
    <w:rsid w:val="00AB5142"/>
    <w:rsid w:val="00AE1051"/>
    <w:rsid w:val="00AE24B5"/>
    <w:rsid w:val="00B30A8C"/>
    <w:rsid w:val="00B47E11"/>
    <w:rsid w:val="00B75064"/>
    <w:rsid w:val="00B75265"/>
    <w:rsid w:val="00B957B3"/>
    <w:rsid w:val="00B95B7F"/>
    <w:rsid w:val="00BA3BEF"/>
    <w:rsid w:val="00BB1DA0"/>
    <w:rsid w:val="00BD0160"/>
    <w:rsid w:val="00BD44F2"/>
    <w:rsid w:val="00BE16CB"/>
    <w:rsid w:val="00BF0774"/>
    <w:rsid w:val="00C06E59"/>
    <w:rsid w:val="00C16DD0"/>
    <w:rsid w:val="00C5093B"/>
    <w:rsid w:val="00C56D31"/>
    <w:rsid w:val="00C770CE"/>
    <w:rsid w:val="00C82AFC"/>
    <w:rsid w:val="00C92F7C"/>
    <w:rsid w:val="00CC1DB6"/>
    <w:rsid w:val="00CD38AD"/>
    <w:rsid w:val="00CE352B"/>
    <w:rsid w:val="00CE5A26"/>
    <w:rsid w:val="00CF79CA"/>
    <w:rsid w:val="00D17A55"/>
    <w:rsid w:val="00D56C5E"/>
    <w:rsid w:val="00DB41BD"/>
    <w:rsid w:val="00DB76C2"/>
    <w:rsid w:val="00DC0E22"/>
    <w:rsid w:val="00DC381E"/>
    <w:rsid w:val="00DD4112"/>
    <w:rsid w:val="00DF66F2"/>
    <w:rsid w:val="00DF70F7"/>
    <w:rsid w:val="00E12830"/>
    <w:rsid w:val="00E223C7"/>
    <w:rsid w:val="00E36B6A"/>
    <w:rsid w:val="00E46DC0"/>
    <w:rsid w:val="00E51CC2"/>
    <w:rsid w:val="00E54BB2"/>
    <w:rsid w:val="00E7518D"/>
    <w:rsid w:val="00E82EEE"/>
    <w:rsid w:val="00E92817"/>
    <w:rsid w:val="00E92F6B"/>
    <w:rsid w:val="00E938F8"/>
    <w:rsid w:val="00EB083A"/>
    <w:rsid w:val="00EC041B"/>
    <w:rsid w:val="00EC64AC"/>
    <w:rsid w:val="00ED3B35"/>
    <w:rsid w:val="00ED48F9"/>
    <w:rsid w:val="00ED5FFE"/>
    <w:rsid w:val="00F0254C"/>
    <w:rsid w:val="00F068F3"/>
    <w:rsid w:val="00F07BD2"/>
    <w:rsid w:val="00F373EA"/>
    <w:rsid w:val="00F40394"/>
    <w:rsid w:val="00F8191E"/>
    <w:rsid w:val="00F83A44"/>
    <w:rsid w:val="00F84313"/>
    <w:rsid w:val="00F94F0F"/>
    <w:rsid w:val="00FA1CDC"/>
    <w:rsid w:val="00FC2578"/>
    <w:rsid w:val="00FD383E"/>
    <w:rsid w:val="00FD4853"/>
    <w:rsid w:val="00FE094C"/>
    <w:rsid w:val="00FE32B8"/>
    <w:rsid w:val="00FE6D08"/>
    <w:rsid w:val="00FF1750"/>
    <w:rsid w:val="00FF43E1"/>
    <w:rsid w:val="0405A600"/>
    <w:rsid w:val="0D6605C8"/>
    <w:rsid w:val="1474DB4F"/>
    <w:rsid w:val="15094E28"/>
    <w:rsid w:val="186D4380"/>
    <w:rsid w:val="1AFB77F1"/>
    <w:rsid w:val="1FA6DF03"/>
    <w:rsid w:val="23E63940"/>
    <w:rsid w:val="24D7225C"/>
    <w:rsid w:val="25D4916B"/>
    <w:rsid w:val="2617DDF6"/>
    <w:rsid w:val="28E4B559"/>
    <w:rsid w:val="2999A9A0"/>
    <w:rsid w:val="2A8F55E9"/>
    <w:rsid w:val="2F53F6DD"/>
    <w:rsid w:val="37065303"/>
    <w:rsid w:val="396015E4"/>
    <w:rsid w:val="3A9515ED"/>
    <w:rsid w:val="3C59A5CC"/>
    <w:rsid w:val="3DE4E9D7"/>
    <w:rsid w:val="3E1C8F81"/>
    <w:rsid w:val="3F3B5A87"/>
    <w:rsid w:val="424032CF"/>
    <w:rsid w:val="4447B3EA"/>
    <w:rsid w:val="45327DAD"/>
    <w:rsid w:val="4574D24D"/>
    <w:rsid w:val="45E149B1"/>
    <w:rsid w:val="462511B0"/>
    <w:rsid w:val="4646711E"/>
    <w:rsid w:val="47DFE6FE"/>
    <w:rsid w:val="48157018"/>
    <w:rsid w:val="48B863AA"/>
    <w:rsid w:val="5090692E"/>
    <w:rsid w:val="515AC6D1"/>
    <w:rsid w:val="51A3EDF3"/>
    <w:rsid w:val="536F5C59"/>
    <w:rsid w:val="55ECDBCE"/>
    <w:rsid w:val="56CC1BED"/>
    <w:rsid w:val="577AB844"/>
    <w:rsid w:val="5A09A8D3"/>
    <w:rsid w:val="5BA57934"/>
    <w:rsid w:val="5D154832"/>
    <w:rsid w:val="63D2E3C7"/>
    <w:rsid w:val="67442F3D"/>
    <w:rsid w:val="687A7911"/>
    <w:rsid w:val="68C2FD7F"/>
    <w:rsid w:val="69079842"/>
    <w:rsid w:val="6CDD6B83"/>
    <w:rsid w:val="6F9BF8FB"/>
    <w:rsid w:val="7137C95C"/>
    <w:rsid w:val="7815D359"/>
    <w:rsid w:val="786C09E9"/>
    <w:rsid w:val="7AB7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8845"/>
  <w15:chartTrackingRefBased/>
  <w15:docId w15:val="{79DECD18-8B5A-4977-B444-3FA3F452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C14"/>
    <w:rPr>
      <w:kern w:val="2"/>
      <w:lang w:val="fr-CI"/>
      <w14:ligatures w14:val="standardContextual"/>
    </w:rPr>
  </w:style>
  <w:style w:type="paragraph" w:styleId="Heading1">
    <w:name w:val="heading 1"/>
    <w:basedOn w:val="Normal"/>
    <w:next w:val="Normal"/>
    <w:link w:val="Heading1Char"/>
    <w:uiPriority w:val="9"/>
    <w:qFormat/>
    <w:rsid w:val="536F5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36F5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36F5C59"/>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36F5C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36F5C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36F5C59"/>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36F5C59"/>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36F5C59"/>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36F5C59"/>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AA3"/>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 list"/>
    <w:basedOn w:val="Normal"/>
    <w:uiPriority w:val="34"/>
    <w:qFormat/>
    <w:rsid w:val="536F5C59"/>
    <w:pPr>
      <w:ind w:left="720"/>
      <w:contextualSpacing/>
    </w:pPr>
  </w:style>
  <w:style w:type="paragraph" w:styleId="Header">
    <w:name w:val="header"/>
    <w:basedOn w:val="Normal"/>
    <w:link w:val="HeaderChar"/>
    <w:uiPriority w:val="99"/>
    <w:unhideWhenUsed/>
    <w:rsid w:val="536F5C59"/>
    <w:pPr>
      <w:tabs>
        <w:tab w:val="center" w:pos="4680"/>
        <w:tab w:val="right" w:pos="9360"/>
      </w:tabs>
      <w:spacing w:after="0"/>
    </w:pPr>
  </w:style>
  <w:style w:type="character" w:customStyle="1" w:styleId="HeaderChar">
    <w:name w:val="Header Char"/>
    <w:basedOn w:val="DefaultParagraphFont"/>
    <w:link w:val="Header"/>
    <w:uiPriority w:val="99"/>
    <w:rsid w:val="536F5C59"/>
    <w:rPr>
      <w:noProof w:val="0"/>
      <w:lang w:val="fr-FR"/>
    </w:rPr>
  </w:style>
  <w:style w:type="paragraph" w:styleId="Footer">
    <w:name w:val="footer"/>
    <w:basedOn w:val="Normal"/>
    <w:link w:val="FooterChar"/>
    <w:uiPriority w:val="99"/>
    <w:unhideWhenUsed/>
    <w:rsid w:val="536F5C59"/>
    <w:pPr>
      <w:tabs>
        <w:tab w:val="center" w:pos="4680"/>
        <w:tab w:val="right" w:pos="9360"/>
      </w:tabs>
      <w:spacing w:after="0"/>
    </w:pPr>
  </w:style>
  <w:style w:type="character" w:customStyle="1" w:styleId="FooterChar">
    <w:name w:val="Footer Char"/>
    <w:basedOn w:val="DefaultParagraphFont"/>
    <w:link w:val="Footer"/>
    <w:uiPriority w:val="99"/>
    <w:rsid w:val="536F5C59"/>
    <w:rPr>
      <w:noProof w:val="0"/>
      <w:lang w:val="fr-FR"/>
    </w:rPr>
  </w:style>
  <w:style w:type="character" w:customStyle="1" w:styleId="normaltextrun">
    <w:name w:val="normaltextrun"/>
    <w:basedOn w:val="DefaultParagraphFont"/>
    <w:rsid w:val="00062AA3"/>
  </w:style>
  <w:style w:type="character" w:styleId="Hyperlink">
    <w:name w:val="Hyperlink"/>
    <w:basedOn w:val="DefaultParagraphFont"/>
    <w:uiPriority w:val="99"/>
    <w:unhideWhenUsed/>
    <w:rsid w:val="00062AA3"/>
    <w:rPr>
      <w:color w:val="0563C1" w:themeColor="hyperlink"/>
      <w:u w:val="single"/>
    </w:rPr>
  </w:style>
  <w:style w:type="character" w:customStyle="1" w:styleId="ui-provider">
    <w:name w:val="ui-provider"/>
    <w:basedOn w:val="DefaultParagraphFont"/>
    <w:rsid w:val="00062AA3"/>
  </w:style>
  <w:style w:type="character" w:styleId="UnresolvedMention">
    <w:name w:val="Unresolved Mention"/>
    <w:basedOn w:val="DefaultParagraphFont"/>
    <w:uiPriority w:val="99"/>
    <w:semiHidden/>
    <w:unhideWhenUsed/>
    <w:rsid w:val="008D4A1A"/>
    <w:rPr>
      <w:color w:val="605E5C"/>
      <w:shd w:val="clear" w:color="auto" w:fill="E1DFDD"/>
    </w:rPr>
  </w:style>
  <w:style w:type="paragraph" w:styleId="Title">
    <w:name w:val="Title"/>
    <w:basedOn w:val="Normal"/>
    <w:next w:val="Normal"/>
    <w:link w:val="TitleChar"/>
    <w:uiPriority w:val="10"/>
    <w:qFormat/>
    <w:rsid w:val="536F5C59"/>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36F5C59"/>
    <w:rPr>
      <w:rFonts w:eastAsiaTheme="minorEastAsia"/>
      <w:color w:val="5A5A5A"/>
    </w:rPr>
  </w:style>
  <w:style w:type="paragraph" w:styleId="Quote">
    <w:name w:val="Quote"/>
    <w:basedOn w:val="Normal"/>
    <w:next w:val="Normal"/>
    <w:link w:val="QuoteChar"/>
    <w:uiPriority w:val="29"/>
    <w:qFormat/>
    <w:rsid w:val="536F5C5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36F5C59"/>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536F5C59"/>
    <w:rPr>
      <w:rFonts w:asciiTheme="majorHAnsi" w:eastAsiaTheme="majorEastAsia" w:hAnsiTheme="majorHAnsi" w:cstheme="majorBidi"/>
      <w:noProof w:val="0"/>
      <w:color w:val="2F5496" w:themeColor="accent1" w:themeShade="BF"/>
      <w:sz w:val="32"/>
      <w:szCs w:val="32"/>
      <w:lang w:val="fr-FR"/>
    </w:rPr>
  </w:style>
  <w:style w:type="character" w:customStyle="1" w:styleId="Heading2Char">
    <w:name w:val="Heading 2 Char"/>
    <w:basedOn w:val="DefaultParagraphFont"/>
    <w:link w:val="Heading2"/>
    <w:uiPriority w:val="9"/>
    <w:rsid w:val="536F5C59"/>
    <w:rPr>
      <w:rFonts w:asciiTheme="majorHAnsi" w:eastAsiaTheme="majorEastAsia" w:hAnsiTheme="majorHAnsi" w:cstheme="majorBidi"/>
      <w:noProof w:val="0"/>
      <w:color w:val="2F5496" w:themeColor="accent1" w:themeShade="BF"/>
      <w:sz w:val="26"/>
      <w:szCs w:val="26"/>
      <w:lang w:val="fr-FR"/>
    </w:rPr>
  </w:style>
  <w:style w:type="character" w:customStyle="1" w:styleId="Heading3Char">
    <w:name w:val="Heading 3 Char"/>
    <w:basedOn w:val="DefaultParagraphFont"/>
    <w:link w:val="Heading3"/>
    <w:uiPriority w:val="9"/>
    <w:rsid w:val="536F5C59"/>
    <w:rPr>
      <w:rFonts w:asciiTheme="majorHAnsi" w:eastAsiaTheme="majorEastAsia" w:hAnsiTheme="majorHAnsi" w:cstheme="majorBidi"/>
      <w:noProof w:val="0"/>
      <w:color w:val="1F3763"/>
      <w:sz w:val="24"/>
      <w:szCs w:val="24"/>
      <w:lang w:val="fr-FR"/>
    </w:rPr>
  </w:style>
  <w:style w:type="character" w:customStyle="1" w:styleId="Heading4Char">
    <w:name w:val="Heading 4 Char"/>
    <w:basedOn w:val="DefaultParagraphFont"/>
    <w:link w:val="Heading4"/>
    <w:uiPriority w:val="9"/>
    <w:rsid w:val="536F5C59"/>
    <w:rPr>
      <w:rFonts w:asciiTheme="majorHAnsi" w:eastAsiaTheme="majorEastAsia" w:hAnsiTheme="majorHAnsi" w:cstheme="majorBidi"/>
      <w:i/>
      <w:iCs/>
      <w:noProof w:val="0"/>
      <w:color w:val="2F5496" w:themeColor="accent1" w:themeShade="BF"/>
      <w:lang w:val="fr-FR"/>
    </w:rPr>
  </w:style>
  <w:style w:type="character" w:customStyle="1" w:styleId="Heading5Char">
    <w:name w:val="Heading 5 Char"/>
    <w:basedOn w:val="DefaultParagraphFont"/>
    <w:link w:val="Heading5"/>
    <w:uiPriority w:val="9"/>
    <w:rsid w:val="536F5C59"/>
    <w:rPr>
      <w:rFonts w:asciiTheme="majorHAnsi" w:eastAsiaTheme="majorEastAsia" w:hAnsiTheme="majorHAnsi" w:cstheme="majorBidi"/>
      <w:noProof w:val="0"/>
      <w:color w:val="2F5496" w:themeColor="accent1" w:themeShade="BF"/>
      <w:lang w:val="fr-FR"/>
    </w:rPr>
  </w:style>
  <w:style w:type="character" w:customStyle="1" w:styleId="Heading6Char">
    <w:name w:val="Heading 6 Char"/>
    <w:basedOn w:val="DefaultParagraphFont"/>
    <w:link w:val="Heading6"/>
    <w:uiPriority w:val="9"/>
    <w:rsid w:val="536F5C59"/>
    <w:rPr>
      <w:rFonts w:asciiTheme="majorHAnsi" w:eastAsiaTheme="majorEastAsia" w:hAnsiTheme="majorHAnsi" w:cstheme="majorBidi"/>
      <w:noProof w:val="0"/>
      <w:color w:val="1F3763"/>
      <w:lang w:val="fr-FR"/>
    </w:rPr>
  </w:style>
  <w:style w:type="character" w:customStyle="1" w:styleId="Heading7Char">
    <w:name w:val="Heading 7 Char"/>
    <w:basedOn w:val="DefaultParagraphFont"/>
    <w:link w:val="Heading7"/>
    <w:uiPriority w:val="9"/>
    <w:rsid w:val="536F5C59"/>
    <w:rPr>
      <w:rFonts w:asciiTheme="majorHAnsi" w:eastAsiaTheme="majorEastAsia" w:hAnsiTheme="majorHAnsi" w:cstheme="majorBidi"/>
      <w:i/>
      <w:iCs/>
      <w:noProof w:val="0"/>
      <w:color w:val="1F3763"/>
      <w:lang w:val="fr-FR"/>
    </w:rPr>
  </w:style>
  <w:style w:type="character" w:customStyle="1" w:styleId="Heading8Char">
    <w:name w:val="Heading 8 Char"/>
    <w:basedOn w:val="DefaultParagraphFont"/>
    <w:link w:val="Heading8"/>
    <w:uiPriority w:val="9"/>
    <w:rsid w:val="536F5C59"/>
    <w:rPr>
      <w:rFonts w:asciiTheme="majorHAnsi" w:eastAsiaTheme="majorEastAsia" w:hAnsiTheme="majorHAnsi" w:cstheme="majorBidi"/>
      <w:noProof w:val="0"/>
      <w:color w:val="272727"/>
      <w:sz w:val="21"/>
      <w:szCs w:val="21"/>
      <w:lang w:val="fr-FR"/>
    </w:rPr>
  </w:style>
  <w:style w:type="character" w:customStyle="1" w:styleId="Heading9Char">
    <w:name w:val="Heading 9 Char"/>
    <w:basedOn w:val="DefaultParagraphFont"/>
    <w:link w:val="Heading9"/>
    <w:uiPriority w:val="9"/>
    <w:rsid w:val="536F5C59"/>
    <w:rPr>
      <w:rFonts w:asciiTheme="majorHAnsi" w:eastAsiaTheme="majorEastAsia" w:hAnsiTheme="majorHAnsi" w:cstheme="majorBidi"/>
      <w:i/>
      <w:iCs/>
      <w:noProof w:val="0"/>
      <w:color w:val="272727"/>
      <w:sz w:val="21"/>
      <w:szCs w:val="21"/>
      <w:lang w:val="fr-FR"/>
    </w:rPr>
  </w:style>
  <w:style w:type="character" w:customStyle="1" w:styleId="TitleChar">
    <w:name w:val="Title Char"/>
    <w:basedOn w:val="DefaultParagraphFont"/>
    <w:link w:val="Title"/>
    <w:uiPriority w:val="10"/>
    <w:rsid w:val="536F5C59"/>
    <w:rPr>
      <w:rFonts w:asciiTheme="majorHAnsi" w:eastAsiaTheme="majorEastAsia" w:hAnsiTheme="majorHAnsi" w:cstheme="majorBidi"/>
      <w:noProof w:val="0"/>
      <w:sz w:val="56"/>
      <w:szCs w:val="56"/>
      <w:lang w:val="fr-FR"/>
    </w:rPr>
  </w:style>
  <w:style w:type="character" w:customStyle="1" w:styleId="SubtitleChar">
    <w:name w:val="Subtitle Char"/>
    <w:basedOn w:val="DefaultParagraphFont"/>
    <w:link w:val="Subtitle"/>
    <w:uiPriority w:val="11"/>
    <w:rsid w:val="536F5C59"/>
    <w:rPr>
      <w:rFonts w:asciiTheme="minorHAnsi" w:eastAsiaTheme="minorEastAsia" w:hAnsiTheme="minorHAnsi" w:cstheme="minorBidi"/>
      <w:noProof w:val="0"/>
      <w:color w:val="5A5A5A"/>
      <w:lang w:val="fr-FR"/>
    </w:rPr>
  </w:style>
  <w:style w:type="character" w:customStyle="1" w:styleId="QuoteChar">
    <w:name w:val="Quote Char"/>
    <w:basedOn w:val="DefaultParagraphFont"/>
    <w:link w:val="Quote"/>
    <w:uiPriority w:val="29"/>
    <w:rsid w:val="536F5C59"/>
    <w:rPr>
      <w:i/>
      <w:iCs/>
      <w:noProof w:val="0"/>
      <w:color w:val="404040" w:themeColor="text1" w:themeTint="BF"/>
      <w:lang w:val="fr-FR"/>
    </w:rPr>
  </w:style>
  <w:style w:type="character" w:customStyle="1" w:styleId="IntenseQuoteChar">
    <w:name w:val="Intense Quote Char"/>
    <w:basedOn w:val="DefaultParagraphFont"/>
    <w:link w:val="IntenseQuote"/>
    <w:uiPriority w:val="30"/>
    <w:rsid w:val="536F5C59"/>
    <w:rPr>
      <w:i/>
      <w:iCs/>
      <w:noProof w:val="0"/>
      <w:color w:val="4472C4" w:themeColor="accent1"/>
      <w:lang w:val="fr-FR"/>
    </w:rPr>
  </w:style>
  <w:style w:type="paragraph" w:styleId="TOC1">
    <w:name w:val="toc 1"/>
    <w:basedOn w:val="Normal"/>
    <w:next w:val="Normal"/>
    <w:uiPriority w:val="39"/>
    <w:unhideWhenUsed/>
    <w:rsid w:val="536F5C59"/>
    <w:pPr>
      <w:spacing w:after="100"/>
    </w:pPr>
  </w:style>
  <w:style w:type="paragraph" w:styleId="TOC2">
    <w:name w:val="toc 2"/>
    <w:basedOn w:val="Normal"/>
    <w:next w:val="Normal"/>
    <w:uiPriority w:val="39"/>
    <w:unhideWhenUsed/>
    <w:rsid w:val="536F5C59"/>
    <w:pPr>
      <w:spacing w:after="100"/>
      <w:ind w:left="220"/>
    </w:pPr>
  </w:style>
  <w:style w:type="paragraph" w:styleId="TOC3">
    <w:name w:val="toc 3"/>
    <w:basedOn w:val="Normal"/>
    <w:next w:val="Normal"/>
    <w:uiPriority w:val="39"/>
    <w:unhideWhenUsed/>
    <w:rsid w:val="536F5C59"/>
    <w:pPr>
      <w:spacing w:after="100"/>
      <w:ind w:left="440"/>
    </w:pPr>
  </w:style>
  <w:style w:type="paragraph" w:styleId="TOC4">
    <w:name w:val="toc 4"/>
    <w:basedOn w:val="Normal"/>
    <w:next w:val="Normal"/>
    <w:uiPriority w:val="39"/>
    <w:unhideWhenUsed/>
    <w:rsid w:val="536F5C59"/>
    <w:pPr>
      <w:spacing w:after="100"/>
      <w:ind w:left="660"/>
    </w:pPr>
  </w:style>
  <w:style w:type="paragraph" w:styleId="TOC5">
    <w:name w:val="toc 5"/>
    <w:basedOn w:val="Normal"/>
    <w:next w:val="Normal"/>
    <w:uiPriority w:val="39"/>
    <w:unhideWhenUsed/>
    <w:rsid w:val="536F5C59"/>
    <w:pPr>
      <w:spacing w:after="100"/>
      <w:ind w:left="880"/>
    </w:pPr>
  </w:style>
  <w:style w:type="paragraph" w:styleId="TOC6">
    <w:name w:val="toc 6"/>
    <w:basedOn w:val="Normal"/>
    <w:next w:val="Normal"/>
    <w:uiPriority w:val="39"/>
    <w:unhideWhenUsed/>
    <w:rsid w:val="536F5C59"/>
    <w:pPr>
      <w:spacing w:after="100"/>
      <w:ind w:left="1100"/>
    </w:pPr>
  </w:style>
  <w:style w:type="paragraph" w:styleId="TOC7">
    <w:name w:val="toc 7"/>
    <w:basedOn w:val="Normal"/>
    <w:next w:val="Normal"/>
    <w:uiPriority w:val="39"/>
    <w:unhideWhenUsed/>
    <w:rsid w:val="536F5C59"/>
    <w:pPr>
      <w:spacing w:after="100"/>
      <w:ind w:left="1320"/>
    </w:pPr>
  </w:style>
  <w:style w:type="paragraph" w:styleId="TOC8">
    <w:name w:val="toc 8"/>
    <w:basedOn w:val="Normal"/>
    <w:next w:val="Normal"/>
    <w:uiPriority w:val="39"/>
    <w:unhideWhenUsed/>
    <w:rsid w:val="536F5C59"/>
    <w:pPr>
      <w:spacing w:after="100"/>
      <w:ind w:left="1540"/>
    </w:pPr>
  </w:style>
  <w:style w:type="paragraph" w:styleId="TOC9">
    <w:name w:val="toc 9"/>
    <w:basedOn w:val="Normal"/>
    <w:next w:val="Normal"/>
    <w:uiPriority w:val="39"/>
    <w:unhideWhenUsed/>
    <w:rsid w:val="536F5C59"/>
    <w:pPr>
      <w:spacing w:after="100"/>
      <w:ind w:left="1760"/>
    </w:pPr>
  </w:style>
  <w:style w:type="paragraph" w:styleId="EndnoteText">
    <w:name w:val="endnote text"/>
    <w:basedOn w:val="Normal"/>
    <w:link w:val="EndnoteTextChar"/>
    <w:uiPriority w:val="99"/>
    <w:semiHidden/>
    <w:unhideWhenUsed/>
    <w:rsid w:val="536F5C59"/>
    <w:pPr>
      <w:spacing w:after="0"/>
    </w:pPr>
    <w:rPr>
      <w:sz w:val="20"/>
      <w:szCs w:val="20"/>
    </w:rPr>
  </w:style>
  <w:style w:type="character" w:customStyle="1" w:styleId="EndnoteTextChar">
    <w:name w:val="Endnote Text Char"/>
    <w:basedOn w:val="DefaultParagraphFont"/>
    <w:link w:val="EndnoteText"/>
    <w:uiPriority w:val="99"/>
    <w:semiHidden/>
    <w:rsid w:val="536F5C59"/>
    <w:rPr>
      <w:noProof w:val="0"/>
      <w:sz w:val="20"/>
      <w:szCs w:val="20"/>
      <w:lang w:val="fr-FR"/>
    </w:rPr>
  </w:style>
  <w:style w:type="paragraph" w:styleId="FootnoteText">
    <w:name w:val="footnote text"/>
    <w:basedOn w:val="Normal"/>
    <w:link w:val="FootnoteTextChar"/>
    <w:uiPriority w:val="99"/>
    <w:semiHidden/>
    <w:unhideWhenUsed/>
    <w:rsid w:val="536F5C59"/>
    <w:pPr>
      <w:spacing w:after="0"/>
    </w:pPr>
    <w:rPr>
      <w:sz w:val="20"/>
      <w:szCs w:val="20"/>
    </w:rPr>
  </w:style>
  <w:style w:type="character" w:customStyle="1" w:styleId="FootnoteTextChar">
    <w:name w:val="Footnote Text Char"/>
    <w:basedOn w:val="DefaultParagraphFont"/>
    <w:link w:val="FootnoteText"/>
    <w:uiPriority w:val="99"/>
    <w:semiHidden/>
    <w:rsid w:val="536F5C59"/>
    <w:rPr>
      <w:noProof w:val="0"/>
      <w:sz w:val="20"/>
      <w:szCs w:val="20"/>
      <w:lang w:val="fr-FR"/>
    </w:rPr>
  </w:style>
  <w:style w:type="paragraph" w:customStyle="1" w:styleId="msonormal0">
    <w:name w:val="msonormal"/>
    <w:basedOn w:val="Normal"/>
    <w:rsid w:val="000A6C14"/>
    <w:pPr>
      <w:spacing w:before="100" w:beforeAutospacing="1" w:after="100" w:afterAutospacing="1" w:line="240" w:lineRule="auto"/>
    </w:pPr>
    <w:rPr>
      <w:rFonts w:ascii="Times New Roman" w:eastAsia="Times New Roman" w:hAnsi="Times New Roman" w:cs="Times New Roman"/>
      <w:kern w:val="0"/>
      <w:sz w:val="24"/>
      <w:szCs w:val="24"/>
      <w:lang w:eastAsia="fr-CI"/>
      <w14:ligatures w14:val="none"/>
    </w:rPr>
  </w:style>
  <w:style w:type="paragraph" w:customStyle="1" w:styleId="paragraph">
    <w:name w:val="paragraph"/>
    <w:basedOn w:val="Normal"/>
    <w:rsid w:val="000A6C14"/>
    <w:pPr>
      <w:spacing w:before="100" w:beforeAutospacing="1" w:after="100" w:afterAutospacing="1" w:line="240" w:lineRule="auto"/>
    </w:pPr>
    <w:rPr>
      <w:rFonts w:ascii="Times New Roman" w:eastAsia="Times New Roman" w:hAnsi="Times New Roman" w:cs="Times New Roman"/>
      <w:kern w:val="0"/>
      <w:sz w:val="24"/>
      <w:szCs w:val="24"/>
      <w:lang w:eastAsia="fr-CI"/>
      <w14:ligatures w14:val="none"/>
    </w:rPr>
  </w:style>
  <w:style w:type="character" w:customStyle="1" w:styleId="textrun">
    <w:name w:val="textrun"/>
    <w:basedOn w:val="DefaultParagraphFont"/>
    <w:rsid w:val="000A6C14"/>
  </w:style>
  <w:style w:type="character" w:customStyle="1" w:styleId="eop">
    <w:name w:val="eop"/>
    <w:basedOn w:val="DefaultParagraphFont"/>
    <w:rsid w:val="000A6C14"/>
  </w:style>
  <w:style w:type="character" w:customStyle="1" w:styleId="contentcontrolboundarysink">
    <w:name w:val="contentcontrolboundarysink"/>
    <w:basedOn w:val="DefaultParagraphFont"/>
    <w:rsid w:val="000A6C14"/>
  </w:style>
  <w:style w:type="character" w:customStyle="1" w:styleId="contentcontrol">
    <w:name w:val="contentcontrol"/>
    <w:basedOn w:val="DefaultParagraphFont"/>
    <w:rsid w:val="000A6C14"/>
  </w:style>
  <w:style w:type="character" w:styleId="FollowedHyperlink">
    <w:name w:val="FollowedHyperlink"/>
    <w:basedOn w:val="DefaultParagraphFont"/>
    <w:uiPriority w:val="99"/>
    <w:semiHidden/>
    <w:unhideWhenUsed/>
    <w:rsid w:val="000A6C14"/>
    <w:rPr>
      <w:color w:val="800080"/>
      <w:u w:val="single"/>
    </w:rPr>
  </w:style>
  <w:style w:type="character" w:customStyle="1" w:styleId="toclinkoverridethemed">
    <w:name w:val="toclinkoverridethemed"/>
    <w:basedOn w:val="DefaultParagraphFont"/>
    <w:rsid w:val="000A6C14"/>
  </w:style>
  <w:style w:type="character" w:customStyle="1" w:styleId="tabrun">
    <w:name w:val="tabrun"/>
    <w:basedOn w:val="DefaultParagraphFont"/>
    <w:rsid w:val="000A6C14"/>
  </w:style>
  <w:style w:type="character" w:customStyle="1" w:styleId="tabchar">
    <w:name w:val="tabchar"/>
    <w:basedOn w:val="DefaultParagraphFont"/>
    <w:rsid w:val="000A6C14"/>
  </w:style>
  <w:style w:type="character" w:customStyle="1" w:styleId="tableaderchars">
    <w:name w:val="tableaderchars"/>
    <w:basedOn w:val="DefaultParagraphFont"/>
    <w:rsid w:val="000A6C14"/>
  </w:style>
  <w:style w:type="character" w:customStyle="1" w:styleId="wacimagecontainer">
    <w:name w:val="wacimagecontainer"/>
    <w:basedOn w:val="DefaultParagraphFont"/>
    <w:rsid w:val="000A6C14"/>
  </w:style>
  <w:style w:type="paragraph" w:customStyle="1" w:styleId="outlineelement">
    <w:name w:val="outlineelement"/>
    <w:basedOn w:val="Normal"/>
    <w:rsid w:val="000A6C14"/>
    <w:pPr>
      <w:spacing w:before="100" w:beforeAutospacing="1" w:after="100" w:afterAutospacing="1" w:line="240" w:lineRule="auto"/>
    </w:pPr>
    <w:rPr>
      <w:rFonts w:ascii="Times New Roman" w:eastAsia="Times New Roman" w:hAnsi="Times New Roman" w:cs="Times New Roman"/>
      <w:kern w:val="0"/>
      <w:sz w:val="24"/>
      <w:szCs w:val="24"/>
      <w:lang w:eastAsia="fr-CI"/>
      <w14:ligatures w14:val="none"/>
    </w:rPr>
  </w:style>
  <w:style w:type="character" w:customStyle="1" w:styleId="linebreakblob">
    <w:name w:val="linebreakblob"/>
    <w:basedOn w:val="DefaultParagraphFont"/>
    <w:rsid w:val="000A6C14"/>
  </w:style>
  <w:style w:type="character" w:customStyle="1" w:styleId="scxw98828064">
    <w:name w:val="scxw98828064"/>
    <w:basedOn w:val="DefaultParagraphFont"/>
    <w:rsid w:val="000A6C14"/>
  </w:style>
  <w:style w:type="character" w:customStyle="1" w:styleId="wacimagegroupcontainer">
    <w:name w:val="wacimagegroupcontainer"/>
    <w:basedOn w:val="DefaultParagraphFont"/>
    <w:rsid w:val="000A6C14"/>
  </w:style>
  <w:style w:type="character" w:styleId="PlaceholderText">
    <w:name w:val="Placeholder Text"/>
    <w:basedOn w:val="DefaultParagraphFont"/>
    <w:uiPriority w:val="99"/>
    <w:semiHidden/>
    <w:rsid w:val="000A6C14"/>
    <w:rPr>
      <w:color w:val="808080"/>
    </w:rPr>
  </w:style>
  <w:style w:type="paragraph" w:styleId="BodyText">
    <w:name w:val="Body Text"/>
    <w:basedOn w:val="Normal"/>
    <w:link w:val="BodyTextChar"/>
    <w:uiPriority w:val="1"/>
    <w:qFormat/>
    <w:rsid w:val="000A6C14"/>
    <w:pPr>
      <w:widowControl w:val="0"/>
      <w:autoSpaceDE w:val="0"/>
      <w:autoSpaceDN w:val="0"/>
      <w:spacing w:before="119" w:after="0" w:line="276" w:lineRule="auto"/>
      <w:jc w:val="both"/>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0A6C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bookmark://_Toc134031434" TargetMode="External"/><Relationship Id="rId18" Type="http://schemas.openxmlformats.org/officeDocument/2006/relationships/hyperlink" Target="bookmark://_Toc134031438" TargetMode="External"/><Relationship Id="rId26" Type="http://schemas.openxmlformats.org/officeDocument/2006/relationships/hyperlink" Target="bookmark://_Toc134031448"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bookmark://_Toc134031442" TargetMode="External"/><Relationship Id="rId34" Type="http://schemas.openxmlformats.org/officeDocument/2006/relationships/hyperlink" Target="mailto:cashew@giz.de" TargetMode="External"/><Relationship Id="rId7" Type="http://schemas.openxmlformats.org/officeDocument/2006/relationships/webSettings" Target="webSettings.xml"/><Relationship Id="rId12" Type="http://schemas.openxmlformats.org/officeDocument/2006/relationships/hyperlink" Target="bookmark://_Toc134031432" TargetMode="External"/><Relationship Id="rId17" Type="http://schemas.openxmlformats.org/officeDocument/2006/relationships/hyperlink" Target="bookmark://_Toc134031437" TargetMode="External"/><Relationship Id="rId25" Type="http://schemas.openxmlformats.org/officeDocument/2006/relationships/hyperlink" Target="bookmark://_Toc134031447" TargetMode="External"/><Relationship Id="rId33" Type="http://schemas.openxmlformats.org/officeDocument/2006/relationships/hyperlink" Target="mailto:cashew@giz.d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bookmark://_Toc134031436" TargetMode="External"/><Relationship Id="rId20" Type="http://schemas.openxmlformats.org/officeDocument/2006/relationships/hyperlink" Target="bookmark://_Toc134031440" TargetMode="External"/><Relationship Id="rId29" Type="http://schemas.openxmlformats.org/officeDocument/2006/relationships/hyperlink" Target="http://www.cashew.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bookmark://_Toc134031431" TargetMode="External"/><Relationship Id="rId24" Type="http://schemas.openxmlformats.org/officeDocument/2006/relationships/hyperlink" Target="bookmark://_Toc134031445" TargetMode="External"/><Relationship Id="rId32" Type="http://schemas.openxmlformats.org/officeDocument/2006/relationships/hyperlink" Target="http://africancashewalliance.com/e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bookmark://_Toc134031435" TargetMode="External"/><Relationship Id="rId23" Type="http://schemas.openxmlformats.org/officeDocument/2006/relationships/hyperlink" Target="bookmark://_Toc134031444" TargetMode="External"/><Relationship Id="rId28" Type="http://schemas.openxmlformats.org/officeDocument/2006/relationships/image" Target="media/image2.jpeg"/><Relationship Id="rId36" Type="http://schemas.openxmlformats.org/officeDocument/2006/relationships/image" Target="media/image3.png"/><Relationship Id="rId10" Type="http://schemas.openxmlformats.org/officeDocument/2006/relationships/hyperlink" Target="bookmark://_Toc134031431" TargetMode="External"/><Relationship Id="rId19" Type="http://schemas.openxmlformats.org/officeDocument/2006/relationships/hyperlink" Target="bookmark://_Toc134031436" TargetMode="External"/><Relationship Id="rId31" Type="http://schemas.openxmlformats.org/officeDocument/2006/relationships/hyperlink" Target="https://www.ciccashew.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bookmark://_Toc134031434" TargetMode="External"/><Relationship Id="rId22" Type="http://schemas.openxmlformats.org/officeDocument/2006/relationships/hyperlink" Target="bookmark://_Toc134031443" TargetMode="External"/><Relationship Id="rId27" Type="http://schemas.openxmlformats.org/officeDocument/2006/relationships/image" Target="media/image1.png"/><Relationship Id="rId30" Type="http://schemas.openxmlformats.org/officeDocument/2006/relationships/hyperlink" Target="https://www.oacps.org/" TargetMode="External"/><Relationship Id="rId35"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ln>
                <a:noFill/>
              </a:ln>
              <a:pattFill prst="pct5">
                <a:fgClr>
                  <a:schemeClr val="tx1"/>
                </a:fgClr>
                <a:bgClr>
                  <a:schemeClr val="bg1"/>
                </a:bgClr>
              </a:patt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5F-455D-B162-4B90B317C7E6}"/>
              </c:ext>
            </c:extLst>
          </c:dPt>
          <c:dPt>
            <c:idx val="1"/>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3-E85F-455D-B162-4B90B317C7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5F-455D-B162-4B90B317C7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5F-455D-B162-4B90B317C7E6}"/>
              </c:ext>
            </c:extLst>
          </c:dPt>
          <c:dLbls>
            <c:delete val="1"/>
          </c:dLbls>
          <c:cat>
            <c:strRef>
              <c:f>Sheet1!$A$2:$A$5</c:f>
              <c:strCache>
                <c:ptCount val="4"/>
                <c:pt idx="0">
                  <c:v>Identification of appliqant</c:v>
                </c:pt>
                <c:pt idx="1">
                  <c:v>Project description</c:v>
                </c:pt>
                <c:pt idx="2">
                  <c:v>Financial and accounting information for eligibility </c:v>
                </c:pt>
                <c:pt idx="3">
                  <c:v>Budget and contributions</c:v>
                </c:pt>
              </c:strCache>
            </c:strRef>
          </c:cat>
          <c:val>
            <c:numRef>
              <c:f>Sheet1!$B$2:$B$5</c:f>
              <c:numCache>
                <c:formatCode>General</c:formatCode>
                <c:ptCount val="4"/>
                <c:pt idx="0">
                  <c:v>5</c:v>
                </c:pt>
                <c:pt idx="1">
                  <c:v>75</c:v>
                </c:pt>
                <c:pt idx="2">
                  <c:v>10</c:v>
                </c:pt>
                <c:pt idx="3">
                  <c:v>10</c:v>
                </c:pt>
              </c:numCache>
            </c:numRef>
          </c:val>
          <c:extLst>
            <c:ext xmlns:c16="http://schemas.microsoft.com/office/drawing/2014/chart" uri="{C3380CC4-5D6E-409C-BE32-E72D297353CC}">
              <c16:uniqueId val="{00000008-E85F-455D-B162-4B90B317C7E6}"/>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pattFill prst="pct5">
            <a:fgClr>
              <a:schemeClr val="tx1"/>
            </a:fgClr>
            <a:bgClr>
              <a:schemeClr val="bg1"/>
            </a:bgClr>
          </a:patt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0.59819</cdr:x>
      <cdr:y>0.03576</cdr:y>
    </cdr:from>
    <cdr:to>
      <cdr:x>0.95721</cdr:x>
      <cdr:y>0.20285</cdr:y>
    </cdr:to>
    <cdr:sp macro="" textlink="">
      <cdr:nvSpPr>
        <cdr:cNvPr id="2" name="Text Box 1"/>
        <cdr:cNvSpPr txBox="1"/>
      </cdr:nvSpPr>
      <cdr:spPr>
        <a:xfrm xmlns:a="http://schemas.openxmlformats.org/drawingml/2006/main">
          <a:off x="3754425" y="128972"/>
          <a:ext cx="2253331" cy="6025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600" b="1">
              <a:latin typeface="Arial" panose="020B0604020202020204" pitchFamily="34" charset="0"/>
              <a:cs typeface="Arial" panose="020B0604020202020204" pitchFamily="34" charset="0"/>
            </a:rPr>
            <a:t>5</a:t>
          </a:r>
          <a:r>
            <a:rPr lang="en-US" sz="1600" b="1" baseline="0">
              <a:latin typeface="Arial" panose="020B0604020202020204" pitchFamily="34" charset="0"/>
              <a:cs typeface="Arial" panose="020B0604020202020204" pitchFamily="34" charset="0"/>
            </a:rPr>
            <a:t>%</a:t>
          </a:r>
          <a:r>
            <a:rPr lang="en-US" sz="1600" baseline="0">
              <a:latin typeface="Arial" panose="020B0604020202020204" pitchFamily="34" charset="0"/>
              <a:cs typeface="Arial" panose="020B0604020202020204" pitchFamily="34" charset="0"/>
            </a:rPr>
            <a:t>  </a:t>
          </a:r>
        </a:p>
        <a:p xmlns:a="http://schemas.openxmlformats.org/drawingml/2006/main">
          <a:r>
            <a:rPr lang="en-US" sz="1100">
              <a:latin typeface="Arial" panose="020B0604020202020204" pitchFamily="34" charset="0"/>
              <a:cs typeface="Arial" panose="020B0604020202020204" pitchFamily="34" charset="0"/>
            </a:rPr>
            <a:t>Identification du candidat</a:t>
          </a:r>
        </a:p>
      </cdr:txBody>
    </cdr:sp>
  </cdr:relSizeAnchor>
  <cdr:relSizeAnchor xmlns:cdr="http://schemas.openxmlformats.org/drawingml/2006/chartDrawing">
    <cdr:from>
      <cdr:x>0.75293</cdr:x>
      <cdr:y>0.30689</cdr:y>
    </cdr:from>
    <cdr:to>
      <cdr:x>1</cdr:x>
      <cdr:y>0.4625</cdr:y>
    </cdr:to>
    <cdr:sp macro="" textlink="">
      <cdr:nvSpPr>
        <cdr:cNvPr id="3" name="Text Box 2"/>
        <cdr:cNvSpPr txBox="1"/>
      </cdr:nvSpPr>
      <cdr:spPr>
        <a:xfrm xmlns:a="http://schemas.openxmlformats.org/drawingml/2006/main">
          <a:off x="4725619" y="1106698"/>
          <a:ext cx="1550721" cy="561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600" b="1">
              <a:latin typeface="Arial" panose="020B0604020202020204" pitchFamily="34" charset="0"/>
              <a:cs typeface="Arial" panose="020B0604020202020204" pitchFamily="34" charset="0"/>
            </a:rPr>
            <a:t>75</a:t>
          </a:r>
          <a:r>
            <a:rPr lang="en-US" sz="1600" b="1" baseline="0">
              <a:latin typeface="Arial" panose="020B0604020202020204" pitchFamily="34" charset="0"/>
              <a:cs typeface="Arial" panose="020B0604020202020204" pitchFamily="34" charset="0"/>
            </a:rPr>
            <a:t>%</a:t>
          </a:r>
          <a:r>
            <a:rPr lang="en-US" sz="1600" baseline="0">
              <a:latin typeface="Arial" panose="020B0604020202020204" pitchFamily="34" charset="0"/>
              <a:cs typeface="Arial" panose="020B0604020202020204" pitchFamily="34" charset="0"/>
            </a:rPr>
            <a:t> </a:t>
          </a:r>
        </a:p>
        <a:p xmlns:a="http://schemas.openxmlformats.org/drawingml/2006/main">
          <a:r>
            <a:rPr lang="en-US" sz="1100" baseline="0">
              <a:latin typeface="Arial" panose="020B0604020202020204" pitchFamily="34" charset="0"/>
              <a:cs typeface="Arial" panose="020B0604020202020204" pitchFamily="34" charset="0"/>
            </a:rPr>
            <a:t>Description du project</a:t>
          </a:r>
          <a:endParaRPr lang="en-US"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0.00932</cdr:x>
      <cdr:y>0.36968</cdr:y>
    </cdr:from>
    <cdr:to>
      <cdr:x>0.26807</cdr:x>
      <cdr:y>0.62122</cdr:y>
    </cdr:to>
    <cdr:sp macro="" textlink="">
      <cdr:nvSpPr>
        <cdr:cNvPr id="4" name="Text Box 3"/>
        <cdr:cNvSpPr txBox="1"/>
      </cdr:nvSpPr>
      <cdr:spPr>
        <a:xfrm xmlns:a="http://schemas.openxmlformats.org/drawingml/2006/main">
          <a:off x="58521" y="1333119"/>
          <a:ext cx="1623974" cy="9070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600" b="1">
              <a:latin typeface="Arial" panose="020B0604020202020204" pitchFamily="34" charset="0"/>
              <a:cs typeface="Arial" panose="020B0604020202020204" pitchFamily="34" charset="0"/>
            </a:rPr>
            <a:t>10</a:t>
          </a:r>
          <a:r>
            <a:rPr lang="en-US" sz="1600" b="1" baseline="0">
              <a:latin typeface="Arial" panose="020B0604020202020204" pitchFamily="34" charset="0"/>
              <a:cs typeface="Arial" panose="020B0604020202020204" pitchFamily="34" charset="0"/>
            </a:rPr>
            <a:t>%</a:t>
          </a:r>
          <a:r>
            <a:rPr lang="en-US" sz="1600" baseline="0">
              <a:latin typeface="Arial" panose="020B0604020202020204" pitchFamily="34" charset="0"/>
              <a:cs typeface="Arial" panose="020B0604020202020204" pitchFamily="34" charset="0"/>
            </a:rPr>
            <a:t> </a:t>
          </a:r>
        </a:p>
        <a:p xmlns:a="http://schemas.openxmlformats.org/drawingml/2006/main">
          <a:r>
            <a:rPr lang="en-US" sz="1100">
              <a:latin typeface="Arial" panose="020B0604020202020204" pitchFamily="34" charset="0"/>
              <a:cs typeface="Arial" panose="020B0604020202020204" pitchFamily="34" charset="0"/>
            </a:rPr>
            <a:t>Information financière et comptabilité</a:t>
          </a:r>
        </a:p>
      </cdr:txBody>
    </cdr:sp>
  </cdr:relSizeAnchor>
  <cdr:relSizeAnchor xmlns:cdr="http://schemas.openxmlformats.org/drawingml/2006/chartDrawing">
    <cdr:from>
      <cdr:x>0.0617</cdr:x>
      <cdr:y>0.03827</cdr:y>
    </cdr:from>
    <cdr:to>
      <cdr:x>0.32044</cdr:x>
      <cdr:y>0.28981</cdr:y>
    </cdr:to>
    <cdr:sp macro="" textlink="">
      <cdr:nvSpPr>
        <cdr:cNvPr id="5" name="Text Box 4"/>
        <cdr:cNvSpPr txBox="1"/>
      </cdr:nvSpPr>
      <cdr:spPr>
        <a:xfrm xmlns:a="http://schemas.openxmlformats.org/drawingml/2006/main">
          <a:off x="387262" y="138011"/>
          <a:ext cx="1623940" cy="9070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a:t>
          </a:r>
          <a:r>
            <a:rPr lang="en-US" sz="1600" b="1">
              <a:latin typeface="Arial" panose="020B0604020202020204" pitchFamily="34" charset="0"/>
              <a:cs typeface="Arial" panose="020B0604020202020204" pitchFamily="34" charset="0"/>
            </a:rPr>
            <a:t>10</a:t>
          </a:r>
          <a:r>
            <a:rPr lang="en-US" sz="1600" b="1" baseline="0">
              <a:latin typeface="Arial" panose="020B0604020202020204" pitchFamily="34" charset="0"/>
              <a:cs typeface="Arial" panose="020B0604020202020204" pitchFamily="34" charset="0"/>
            </a:rPr>
            <a:t>%</a:t>
          </a:r>
          <a:r>
            <a:rPr lang="en-US" sz="1600" baseline="0">
              <a:latin typeface="Arial" panose="020B0604020202020204" pitchFamily="34" charset="0"/>
              <a:cs typeface="Arial" panose="020B0604020202020204" pitchFamily="34" charset="0"/>
            </a:rPr>
            <a:t> </a:t>
          </a:r>
        </a:p>
        <a:p xmlns:a="http://schemas.openxmlformats.org/drawingml/2006/main">
          <a:r>
            <a:rPr lang="en-US" sz="1100">
              <a:latin typeface="Arial" panose="020B0604020202020204" pitchFamily="34" charset="0"/>
              <a:cs typeface="Arial" panose="020B0604020202020204" pitchFamily="34" charset="0"/>
            </a:rPr>
            <a:t>Budget et contribution</a:t>
          </a:r>
        </a:p>
      </cdr:txBody>
    </cdr:sp>
  </cdr:relSizeAnchor>
  <cdr:relSizeAnchor xmlns:cdr="http://schemas.openxmlformats.org/drawingml/2006/chartDrawing">
    <cdr:from>
      <cdr:x>0.75982</cdr:x>
      <cdr:y>0.41435</cdr:y>
    </cdr:from>
    <cdr:to>
      <cdr:x>1</cdr:x>
      <cdr:y>0.78701</cdr:y>
    </cdr:to>
    <cdr:sp macro="" textlink="">
      <cdr:nvSpPr>
        <cdr:cNvPr id="6" name="Text Box 5"/>
        <cdr:cNvSpPr txBox="1"/>
      </cdr:nvSpPr>
      <cdr:spPr>
        <a:xfrm xmlns:a="http://schemas.openxmlformats.org/drawingml/2006/main">
          <a:off x="4768889" y="1494206"/>
          <a:ext cx="1507451" cy="1343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 &gt; </a:t>
          </a:r>
          <a:r>
            <a:rPr lang="en-US" sz="800" baseline="0">
              <a:latin typeface="Arial" panose="020B0604020202020204" pitchFamily="34" charset="0"/>
              <a:cs typeface="Arial" panose="020B0604020202020204" pitchFamily="34" charset="0"/>
            </a:rPr>
            <a:t>Contexte et justification</a:t>
          </a:r>
        </a:p>
        <a:p xmlns:a="http://schemas.openxmlformats.org/drawingml/2006/main">
          <a:r>
            <a:rPr lang="en-US" sz="800" baseline="0">
              <a:latin typeface="Arial" panose="020B0604020202020204" pitchFamily="34" charset="0"/>
              <a:cs typeface="Arial" panose="020B0604020202020204" pitchFamily="34" charset="0"/>
            </a:rPr>
            <a:t> &gt;Segment de chaîne de valeur ciblée</a:t>
          </a:r>
        </a:p>
        <a:p xmlns:a="http://schemas.openxmlformats.org/drawingml/2006/main">
          <a:r>
            <a:rPr lang="en-US" sz="800" baseline="0">
              <a:latin typeface="Arial" panose="020B0604020202020204" pitchFamily="34" charset="0"/>
              <a:cs typeface="Arial" panose="020B0604020202020204" pitchFamily="34" charset="0"/>
            </a:rPr>
            <a:t> &gt; Resumé du projt</a:t>
          </a:r>
        </a:p>
        <a:p xmlns:a="http://schemas.openxmlformats.org/drawingml/2006/main">
          <a:r>
            <a:rPr lang="en-US" sz="800" baseline="0">
              <a:latin typeface="Arial" panose="020B0604020202020204" pitchFamily="34" charset="0"/>
              <a:cs typeface="Arial" panose="020B0604020202020204" pitchFamily="34" charset="0"/>
            </a:rPr>
            <a:t> &gt;But et objectifs</a:t>
          </a:r>
        </a:p>
        <a:p xmlns:a="http://schemas.openxmlformats.org/drawingml/2006/main">
          <a:r>
            <a:rPr lang="en-US" sz="800" baseline="0">
              <a:latin typeface="Arial" panose="020B0604020202020204" pitchFamily="34" charset="0"/>
              <a:cs typeface="Arial" panose="020B0604020202020204" pitchFamily="34" charset="0"/>
            </a:rPr>
            <a:t> &gt; Raison d'être du climat</a:t>
          </a:r>
        </a:p>
        <a:p xmlns:a="http://schemas.openxmlformats.org/drawingml/2006/main">
          <a:r>
            <a:rPr lang="en-US" sz="800" baseline="0">
              <a:latin typeface="Arial" panose="020B0604020202020204" pitchFamily="34" charset="0"/>
              <a:cs typeface="Arial" panose="020B0604020202020204" pitchFamily="34" charset="0"/>
            </a:rPr>
            <a:t> &gt; Inclusion et genre</a:t>
          </a:r>
        </a:p>
        <a:p xmlns:a="http://schemas.openxmlformats.org/drawingml/2006/main">
          <a:r>
            <a:rPr lang="en-US" sz="800" baseline="0">
              <a:latin typeface="Arial" panose="020B0604020202020204" pitchFamily="34" charset="0"/>
              <a:cs typeface="Arial" panose="020B0604020202020204" pitchFamily="34" charset="0"/>
            </a:rPr>
            <a:t> &gt; Mesures d'intervention</a:t>
          </a:r>
        </a:p>
        <a:p xmlns:a="http://schemas.openxmlformats.org/drawingml/2006/main">
          <a:r>
            <a:rPr lang="en-US" sz="800" baseline="0">
              <a:latin typeface="Arial" panose="020B0604020202020204" pitchFamily="34" charset="0"/>
              <a:cs typeface="Arial" panose="020B0604020202020204" pitchFamily="34" charset="0"/>
            </a:rPr>
            <a:t> &gt; Échelle de l'intervention</a:t>
          </a:r>
        </a:p>
        <a:p xmlns:a="http://schemas.openxmlformats.org/drawingml/2006/main">
          <a:r>
            <a:rPr lang="en-US" sz="800" baseline="0">
              <a:latin typeface="Arial" panose="020B0604020202020204" pitchFamily="34" charset="0"/>
              <a:cs typeface="Arial" panose="020B0604020202020204" pitchFamily="34" charset="0"/>
            </a:rPr>
            <a:t> &gt; Impacts attendus</a:t>
          </a:r>
          <a:endParaRPr lang="en-US"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0.07772</cdr:x>
      <cdr:y>0.17664</cdr:y>
    </cdr:from>
    <cdr:to>
      <cdr:x>0.34703</cdr:x>
      <cdr:y>0.314</cdr:y>
    </cdr:to>
    <cdr:sp macro="" textlink="">
      <cdr:nvSpPr>
        <cdr:cNvPr id="7" name="Text Box 6"/>
        <cdr:cNvSpPr txBox="1"/>
      </cdr:nvSpPr>
      <cdr:spPr>
        <a:xfrm xmlns:a="http://schemas.openxmlformats.org/drawingml/2006/main">
          <a:off x="487780" y="636991"/>
          <a:ext cx="1690269" cy="4953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 &gt; </a:t>
          </a:r>
          <a:r>
            <a:rPr lang="en-US" sz="800" baseline="0">
              <a:latin typeface="Arial" panose="020B0604020202020204" pitchFamily="34" charset="0"/>
              <a:cs typeface="Arial" panose="020B0604020202020204" pitchFamily="34" charset="0"/>
            </a:rPr>
            <a:t>Information candidat principal</a:t>
          </a:r>
        </a:p>
        <a:p xmlns:a="http://schemas.openxmlformats.org/drawingml/2006/main">
          <a:r>
            <a:rPr lang="en-US" sz="800" baseline="0">
              <a:latin typeface="Arial" panose="020B0604020202020204" pitchFamily="34" charset="0"/>
              <a:cs typeface="Arial" panose="020B0604020202020204" pitchFamily="34" charset="0"/>
            </a:rPr>
            <a:t> &gt; Partenaire(s) du Consortium</a:t>
          </a:r>
        </a:p>
        <a:p xmlns:a="http://schemas.openxmlformats.org/drawingml/2006/main">
          <a:r>
            <a:rPr lang="en-US" sz="800" baseline="0">
              <a:latin typeface="Arial" panose="020B0604020202020204" pitchFamily="34" charset="0"/>
              <a:cs typeface="Arial" panose="020B0604020202020204" pitchFamily="34" charset="0"/>
            </a:rPr>
            <a:t> </a:t>
          </a:r>
          <a:endParaRPr lang="en-US"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0.01821</cdr:x>
      <cdr:y>0.52389</cdr:y>
    </cdr:from>
    <cdr:to>
      <cdr:x>0.27823</cdr:x>
      <cdr:y>0.86107</cdr:y>
    </cdr:to>
    <cdr:sp macro="" textlink="">
      <cdr:nvSpPr>
        <cdr:cNvPr id="8" name="Text Box 7"/>
        <cdr:cNvSpPr txBox="1"/>
      </cdr:nvSpPr>
      <cdr:spPr>
        <a:xfrm xmlns:a="http://schemas.openxmlformats.org/drawingml/2006/main">
          <a:off x="114300" y="1889234"/>
          <a:ext cx="1631950" cy="1215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 &gt; Détails compte</a:t>
          </a:r>
          <a:r>
            <a:rPr lang="en-US" sz="800" baseline="0"/>
            <a:t> bancaire</a:t>
          </a:r>
          <a:endParaRPr lang="en-US" sz="800" baseline="0">
            <a:latin typeface="Arial" panose="020B0604020202020204" pitchFamily="34" charset="0"/>
            <a:cs typeface="Arial" panose="020B0604020202020204" pitchFamily="34" charset="0"/>
          </a:endParaRPr>
        </a:p>
        <a:p xmlns:a="http://schemas.openxmlformats.org/drawingml/2006/main">
          <a:r>
            <a:rPr lang="en-US" sz="800" baseline="0">
              <a:latin typeface="Arial" panose="020B0604020202020204" pitchFamily="34" charset="0"/>
              <a:cs typeface="Arial" panose="020B0604020202020204" pitchFamily="34" charset="0"/>
            </a:rPr>
            <a:t> &gt;Système de comptabilité digitale</a:t>
          </a:r>
        </a:p>
        <a:p xmlns:a="http://schemas.openxmlformats.org/drawingml/2006/main">
          <a:r>
            <a:rPr lang="en-US" sz="800" baseline="0">
              <a:latin typeface="Arial" panose="020B0604020202020204" pitchFamily="34" charset="0"/>
              <a:cs typeface="Arial" panose="020B0604020202020204" pitchFamily="34" charset="0"/>
            </a:rPr>
            <a:t> &gt; Règles de passation de marché</a:t>
          </a:r>
        </a:p>
        <a:p xmlns:a="http://schemas.openxmlformats.org/drawingml/2006/main">
          <a:r>
            <a:rPr lang="en-US" sz="800" baseline="0">
              <a:latin typeface="Arial" panose="020B0604020202020204" pitchFamily="34" charset="0"/>
              <a:cs typeface="Arial" panose="020B0604020202020204" pitchFamily="34" charset="0"/>
            </a:rPr>
            <a:t> &gt; Audit Official audit</a:t>
          </a:r>
        </a:p>
        <a:p xmlns:a="http://schemas.openxmlformats.org/drawingml/2006/main">
          <a:r>
            <a:rPr lang="en-US" sz="800" baseline="0">
              <a:latin typeface="Arial" panose="020B0604020202020204" pitchFamily="34" charset="0"/>
              <a:cs typeface="Arial" panose="020B0604020202020204" pitchFamily="34" charset="0"/>
            </a:rPr>
            <a:t> &gt; Expérience de tarvail avec la GIZ</a:t>
          </a:r>
          <a:endParaRPr lang="en-US"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81C2D08DBF46479EB00FD418CD62C4" ma:contentTypeVersion="16" ma:contentTypeDescription="Ein neues Dokument erstellen." ma:contentTypeScope="" ma:versionID="6fc3e80eb26714fffb2e2b7a5888dcb3">
  <xsd:schema xmlns:xsd="http://www.w3.org/2001/XMLSchema" xmlns:xs="http://www.w3.org/2001/XMLSchema" xmlns:p="http://schemas.microsoft.com/office/2006/metadata/properties" xmlns:ns2="dae77c8a-cfa5-478e-8f59-c5bbe94a0605" xmlns:ns3="a88a658c-523a-45d1-9d5f-cc9776b1af21" targetNamespace="http://schemas.microsoft.com/office/2006/metadata/properties" ma:root="true" ma:fieldsID="4c8ace7b2fa4dc183cfc62c9f1358124" ns2:_="" ns3:_="">
    <xsd:import namespace="dae77c8a-cfa5-478e-8f59-c5bbe94a0605"/>
    <xsd:import namespace="a88a658c-523a-45d1-9d5f-cc9776b1a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f14866-2592-4a4b-bf11-90e918c04db9}"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e77c8a-cfa5-478e-8f59-c5bbe94a0605">
      <Terms xmlns="http://schemas.microsoft.com/office/infopath/2007/PartnerControls"/>
    </lcf76f155ced4ddcb4097134ff3c332f>
    <TaxCatchAll xmlns="a88a658c-523a-45d1-9d5f-cc9776b1af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AEB89-27F4-4E5B-8BEA-F2FF3257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7c8a-cfa5-478e-8f59-c5bbe94a0605"/>
    <ds:schemaRef ds:uri="a88a658c-523a-45d1-9d5f-cc9776b1a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03C48-0EC8-4EBB-A88D-B655F313CAE1}">
  <ds:schemaRefs>
    <ds:schemaRef ds:uri="http://schemas.microsoft.com/office/2006/metadata/properties"/>
    <ds:schemaRef ds:uri="http://schemas.microsoft.com/office/infopath/2007/PartnerControls"/>
    <ds:schemaRef ds:uri="dae77c8a-cfa5-478e-8f59-c5bbe94a0605"/>
    <ds:schemaRef ds:uri="a88a658c-523a-45d1-9d5f-cc9776b1af21"/>
  </ds:schemaRefs>
</ds:datastoreItem>
</file>

<file path=customXml/itemProps3.xml><?xml version="1.0" encoding="utf-8"?>
<ds:datastoreItem xmlns:ds="http://schemas.openxmlformats.org/officeDocument/2006/customXml" ds:itemID="{B53ECBBE-2DE6-4ED8-9D70-87E13947E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6229</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41652</CharactersWithSpaces>
  <SharedDoc>false</SharedDoc>
  <HLinks>
    <vt:vector size="108" baseType="variant">
      <vt:variant>
        <vt:i4>7667789</vt:i4>
      </vt:variant>
      <vt:variant>
        <vt:i4>51</vt:i4>
      </vt:variant>
      <vt:variant>
        <vt:i4>0</vt:i4>
      </vt:variant>
      <vt:variant>
        <vt:i4>5</vt:i4>
      </vt:variant>
      <vt:variant>
        <vt:lpwstr>mailto:cashew@giz.de</vt:lpwstr>
      </vt:variant>
      <vt:variant>
        <vt:lpwstr/>
      </vt:variant>
      <vt:variant>
        <vt:i4>3014771</vt:i4>
      </vt:variant>
      <vt:variant>
        <vt:i4>48</vt:i4>
      </vt:variant>
      <vt:variant>
        <vt:i4>0</vt:i4>
      </vt:variant>
      <vt:variant>
        <vt:i4>5</vt:i4>
      </vt:variant>
      <vt:variant>
        <vt:lpwstr>http://africancashewalliance.com/en</vt:lpwstr>
      </vt:variant>
      <vt:variant>
        <vt:lpwstr/>
      </vt:variant>
      <vt:variant>
        <vt:i4>2555958</vt:i4>
      </vt:variant>
      <vt:variant>
        <vt:i4>45</vt:i4>
      </vt:variant>
      <vt:variant>
        <vt:i4>0</vt:i4>
      </vt:variant>
      <vt:variant>
        <vt:i4>5</vt:i4>
      </vt:variant>
      <vt:variant>
        <vt:lpwstr>https://www.ciccashew.org/</vt:lpwstr>
      </vt:variant>
      <vt:variant>
        <vt:lpwstr/>
      </vt:variant>
      <vt:variant>
        <vt:i4>2752567</vt:i4>
      </vt:variant>
      <vt:variant>
        <vt:i4>42</vt:i4>
      </vt:variant>
      <vt:variant>
        <vt:i4>0</vt:i4>
      </vt:variant>
      <vt:variant>
        <vt:i4>5</vt:i4>
      </vt:variant>
      <vt:variant>
        <vt:lpwstr>https://www.oacps.org/</vt:lpwstr>
      </vt:variant>
      <vt:variant>
        <vt:lpwstr/>
      </vt:variant>
      <vt:variant>
        <vt:i4>5439510</vt:i4>
      </vt:variant>
      <vt:variant>
        <vt:i4>39</vt:i4>
      </vt:variant>
      <vt:variant>
        <vt:i4>0</vt:i4>
      </vt:variant>
      <vt:variant>
        <vt:i4>5</vt:i4>
      </vt:variant>
      <vt:variant>
        <vt:lpwstr>http://www.comcashew.org/</vt:lpwstr>
      </vt:variant>
      <vt:variant>
        <vt:lpwstr/>
      </vt:variant>
      <vt:variant>
        <vt:i4>7667789</vt:i4>
      </vt:variant>
      <vt:variant>
        <vt:i4>36</vt:i4>
      </vt:variant>
      <vt:variant>
        <vt:i4>0</vt:i4>
      </vt:variant>
      <vt:variant>
        <vt:i4>5</vt:i4>
      </vt:variant>
      <vt:variant>
        <vt:lpwstr>mailto:cashew@giz.de</vt:lpwstr>
      </vt:variant>
      <vt:variant>
        <vt:lpwstr/>
      </vt:variant>
      <vt:variant>
        <vt:i4>7667789</vt:i4>
      </vt:variant>
      <vt:variant>
        <vt:i4>33</vt:i4>
      </vt:variant>
      <vt:variant>
        <vt:i4>0</vt:i4>
      </vt:variant>
      <vt:variant>
        <vt:i4>5</vt:i4>
      </vt:variant>
      <vt:variant>
        <vt:lpwstr>mailto:cashew@giz.de</vt:lpwstr>
      </vt:variant>
      <vt:variant>
        <vt:lpwstr/>
      </vt:variant>
      <vt:variant>
        <vt:i4>7667789</vt:i4>
      </vt:variant>
      <vt:variant>
        <vt:i4>30</vt:i4>
      </vt:variant>
      <vt:variant>
        <vt:i4>0</vt:i4>
      </vt:variant>
      <vt:variant>
        <vt:i4>5</vt:i4>
      </vt:variant>
      <vt:variant>
        <vt:lpwstr>mailto:cashew@giz.de</vt:lpwstr>
      </vt:variant>
      <vt:variant>
        <vt:lpwstr/>
      </vt:variant>
      <vt:variant>
        <vt:i4>7143453</vt:i4>
      </vt:variant>
      <vt:variant>
        <vt:i4>27</vt:i4>
      </vt:variant>
      <vt:variant>
        <vt:i4>0</vt:i4>
      </vt:variant>
      <vt:variant>
        <vt:i4>5</vt:i4>
      </vt:variant>
      <vt:variant>
        <vt:lpwstr>https://eur01.safelinks.protection.outlook.com/ap/t-59584e83/?url=https%3A%2F%2Fteams.microsoft.com%2Fl%2Fmeetup-join%2F19%253ameeting_YjkwZTMyNzgtMTBmNi00MWQyLWIxNzEtYTgyZDk0NmJhMTdj%2540thread.v2%2F0%3Fcontext%3D%257b%2522Tid%2522%253a%25225bbab28c-def3-4604-8822-5e707da8dba8%2522%252c%2522Oid%2522%253a%25228d5812cc-5f22-4953-909c-a806757375e8%2522%257d&amp;data=05%7C01%7Cemmanuelforson.owusu%40giz.de%7C3308414395394249593908db5f919913%7C5bbab28cdef3460488225e707da8dba8%7C0%7C0%7C638208851165055317%7CUnknown%7CTWFpbGZsb3d8eyJWIjoiMC4wLjAwMDAiLCJQIjoiV2luMzIiLCJBTiI6Ik1haWwiLCJXVCI6Mn0%3D%7C3000%7C%7C%7C&amp;sdata=%2FxOBjTQwdmIzRNBaQXbdmbKZRVjq0p8ofjcfn0jUe4w%3D&amp;reserved=0</vt:lpwstr>
      </vt:variant>
      <vt:variant>
        <vt:lpwstr/>
      </vt:variant>
      <vt:variant>
        <vt:i4>8257643</vt:i4>
      </vt:variant>
      <vt:variant>
        <vt:i4>24</vt:i4>
      </vt:variant>
      <vt:variant>
        <vt:i4>0</vt:i4>
      </vt:variant>
      <vt:variant>
        <vt:i4>5</vt:i4>
      </vt:variant>
      <vt:variant>
        <vt:lpwstr>https://us06web.zoom.us/j/87432978174?pwd=RE8wMHdLRzVlNTZJVERZOG9DNEdUZz09</vt:lpwstr>
      </vt:variant>
      <vt:variant>
        <vt:lpwstr/>
      </vt:variant>
      <vt:variant>
        <vt:i4>7143453</vt:i4>
      </vt:variant>
      <vt:variant>
        <vt:i4>21</vt:i4>
      </vt:variant>
      <vt:variant>
        <vt:i4>0</vt:i4>
      </vt:variant>
      <vt:variant>
        <vt:i4>5</vt:i4>
      </vt:variant>
      <vt:variant>
        <vt:lpwstr>https://eur01.safelinks.protection.outlook.com/ap/t-59584e83/?url=https%3A%2F%2Fteams.microsoft.com%2Fl%2Fmeetup-join%2F19%253ameeting_YjkwZTMyNzgtMTBmNi00MWQyLWIxNzEtYTgyZDk0NmJhMTdj%2540thread.v2%2F0%3Fcontext%3D%257b%2522Tid%2522%253a%25225bbab28c-def3-4604-8822-5e707da8dba8%2522%252c%2522Oid%2522%253a%25228d5812cc-5f22-4953-909c-a806757375e8%2522%257d&amp;data=05%7C01%7Cemmanuelforson.owusu%40giz.de%7C3308414395394249593908db5f919913%7C5bbab28cdef3460488225e707da8dba8%7C0%7C0%7C638208851165055317%7CUnknown%7CTWFpbGZsb3d8eyJWIjoiMC4wLjAwMDAiLCJQIjoiV2luMzIiLCJBTiI6Ik1haWwiLCJXVCI6Mn0%3D%7C3000%7C%7C%7C&amp;sdata=%2FxOBjTQwdmIzRNBaQXbdmbKZRVjq0p8ofjcfn0jUe4w%3D&amp;reserved=0</vt:lpwstr>
      </vt:variant>
      <vt:variant>
        <vt:lpwstr/>
      </vt:variant>
      <vt:variant>
        <vt:i4>7143453</vt:i4>
      </vt:variant>
      <vt:variant>
        <vt:i4>18</vt:i4>
      </vt:variant>
      <vt:variant>
        <vt:i4>0</vt:i4>
      </vt:variant>
      <vt:variant>
        <vt:i4>5</vt:i4>
      </vt:variant>
      <vt:variant>
        <vt:lpwstr>https://eur01.safelinks.protection.outlook.com/ap/t-59584e83/?url=https%3A%2F%2Fteams.microsoft.com%2Fl%2Fmeetup-join%2F19%253ameeting_YjkwZTMyNzgtMTBmNi00MWQyLWIxNzEtYTgyZDk0NmJhMTdj%2540thread.v2%2F0%3Fcontext%3D%257b%2522Tid%2522%253a%25225bbab28c-def3-4604-8822-5e707da8dba8%2522%252c%2522Oid%2522%253a%25228d5812cc-5f22-4953-909c-a806757375e8%2522%257d&amp;data=05%7C01%7Cemmanuelforson.owusu%40giz.de%7C3308414395394249593908db5f919913%7C5bbab28cdef3460488225e707da8dba8%7C0%7C0%7C638208851165055317%7CUnknown%7CTWFpbGZsb3d8eyJWIjoiMC4wLjAwMDAiLCJQIjoiV2luMzIiLCJBTiI6Ik1haWwiLCJXVCI6Mn0%3D%7C3000%7C%7C%7C&amp;sdata=%2FxOBjTQwdmIzRNBaQXbdmbKZRVjq0p8ofjcfn0jUe4w%3D&amp;reserved=0</vt:lpwstr>
      </vt:variant>
      <vt:variant>
        <vt:lpwstr/>
      </vt:variant>
      <vt:variant>
        <vt:i4>2228322</vt:i4>
      </vt:variant>
      <vt:variant>
        <vt:i4>15</vt:i4>
      </vt:variant>
      <vt:variant>
        <vt:i4>0</vt:i4>
      </vt:variant>
      <vt:variant>
        <vt:i4>5</vt:i4>
      </vt:variant>
      <vt:variant>
        <vt:lpwstr>https://www.agribusiness-facility.org/</vt:lpwstr>
      </vt:variant>
      <vt:variant>
        <vt:lpwstr/>
      </vt:variant>
      <vt:variant>
        <vt:i4>4587611</vt:i4>
      </vt:variant>
      <vt:variant>
        <vt:i4>12</vt:i4>
      </vt:variant>
      <vt:variant>
        <vt:i4>0</vt:i4>
      </vt:variant>
      <vt:variant>
        <vt:i4>5</vt:i4>
      </vt:variant>
      <vt:variant>
        <vt:lpwstr>https://www.cari-project.org/</vt:lpwstr>
      </vt:variant>
      <vt:variant>
        <vt:lpwstr/>
      </vt:variant>
      <vt:variant>
        <vt:i4>3014771</vt:i4>
      </vt:variant>
      <vt:variant>
        <vt:i4>9</vt:i4>
      </vt:variant>
      <vt:variant>
        <vt:i4>0</vt:i4>
      </vt:variant>
      <vt:variant>
        <vt:i4>5</vt:i4>
      </vt:variant>
      <vt:variant>
        <vt:lpwstr>http://africancashewalliance.com/en</vt:lpwstr>
      </vt:variant>
      <vt:variant>
        <vt:lpwstr/>
      </vt:variant>
      <vt:variant>
        <vt:i4>2555958</vt:i4>
      </vt:variant>
      <vt:variant>
        <vt:i4>6</vt:i4>
      </vt:variant>
      <vt:variant>
        <vt:i4>0</vt:i4>
      </vt:variant>
      <vt:variant>
        <vt:i4>5</vt:i4>
      </vt:variant>
      <vt:variant>
        <vt:lpwstr>https://www.ciccashew.org/</vt:lpwstr>
      </vt:variant>
      <vt:variant>
        <vt:lpwstr/>
      </vt:variant>
      <vt:variant>
        <vt:i4>2752567</vt:i4>
      </vt:variant>
      <vt:variant>
        <vt:i4>3</vt:i4>
      </vt:variant>
      <vt:variant>
        <vt:i4>0</vt:i4>
      </vt:variant>
      <vt:variant>
        <vt:i4>5</vt:i4>
      </vt:variant>
      <vt:variant>
        <vt:lpwstr>https://www.oacps.org/</vt:lpwstr>
      </vt:variant>
      <vt:variant>
        <vt:lpwstr/>
      </vt:variant>
      <vt:variant>
        <vt:i4>5439510</vt:i4>
      </vt:variant>
      <vt:variant>
        <vt:i4>0</vt:i4>
      </vt:variant>
      <vt:variant>
        <vt:i4>0</vt:i4>
      </vt:variant>
      <vt:variant>
        <vt:i4>5</vt:i4>
      </vt:variant>
      <vt:variant>
        <vt:lpwstr>http://www.comcashew.org/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Toffey, Valerie GIZ GH</dc:creator>
  <cp:keywords/>
  <dc:description/>
  <cp:lastModifiedBy>Emmanuel Forson Owusu</cp:lastModifiedBy>
  <cp:revision>33</cp:revision>
  <dcterms:created xsi:type="dcterms:W3CDTF">2023-05-29T18:10:00Z</dcterms:created>
  <dcterms:modified xsi:type="dcterms:W3CDTF">2023-06-08T16:05:00Z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5c293e78-8f7a-4529-a95f-01c78d8117c6</vt:lpwstr>
  </property>
  <property fmtid="{D5CDD505-2E9C-101B-9397-08002B2CF9AE}" pid="3" name="ContentTypeId">
    <vt:lpwstr>0x0101003381C2D08DBF46479EB00FD418CD62C4</vt:lpwstr>
  </property>
  <property fmtid="{D5CDD505-2E9C-101B-9397-08002B2CF9AE}" pid="4" name="MediaServiceImageTags">
    <vt:lpwstr/>
  </property>
</Properties>
</file>